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F173BB">
      <w:pPr>
        <w:jc w:val="center"/>
        <w:rPr>
          <w:rFonts w:hint="eastAsia"/>
          <w:sz w:val="44"/>
          <w:szCs w:val="44"/>
        </w:rPr>
      </w:pPr>
      <w:r>
        <w:rPr>
          <w:rFonts w:hint="eastAsia"/>
          <w:sz w:val="44"/>
          <w:szCs w:val="44"/>
          <w:lang w:val="en-US" w:eastAsia="zh-CN"/>
        </w:rPr>
        <w:t>应</w:t>
      </w:r>
      <w:r>
        <w:rPr>
          <w:rFonts w:hint="eastAsia"/>
          <w:sz w:val="44"/>
          <w:szCs w:val="44"/>
        </w:rPr>
        <w:t>县医疗保障局重大行政执法决定法制审核目录清单</w:t>
      </w:r>
    </w:p>
    <w:tbl>
      <w:tblPr>
        <w:tblStyle w:val="3"/>
        <w:tblW w:w="14520"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4"/>
        <w:gridCol w:w="791"/>
        <w:gridCol w:w="1595"/>
        <w:gridCol w:w="797"/>
        <w:gridCol w:w="3988"/>
        <w:gridCol w:w="2872"/>
        <w:gridCol w:w="797"/>
        <w:gridCol w:w="1275"/>
        <w:gridCol w:w="957"/>
        <w:gridCol w:w="964"/>
      </w:tblGrid>
      <w:tr w14:paraId="03630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4520" w:type="dxa"/>
            <w:gridSpan w:val="10"/>
            <w:noWrap w:val="0"/>
            <w:vAlign w:val="top"/>
          </w:tcPr>
          <w:p w14:paraId="3B25180A">
            <w:pPr>
              <w:jc w:val="center"/>
              <w:rPr>
                <w:rFonts w:hint="eastAsia"/>
                <w:sz w:val="24"/>
              </w:rPr>
            </w:pPr>
            <w:r>
              <w:rPr>
                <w:rFonts w:hint="eastAsia"/>
                <w:sz w:val="24"/>
                <w:lang w:val="en-US" w:eastAsia="zh-CN"/>
              </w:rPr>
              <w:t>应</w:t>
            </w:r>
            <w:r>
              <w:rPr>
                <w:rFonts w:hint="eastAsia"/>
                <w:sz w:val="24"/>
              </w:rPr>
              <w:t>县医疗保障局重大行政执法决定法制审核目录清单</w:t>
            </w:r>
          </w:p>
        </w:tc>
      </w:tr>
      <w:tr w14:paraId="523B9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484" w:type="dxa"/>
            <w:noWrap w:val="0"/>
            <w:vAlign w:val="top"/>
          </w:tcPr>
          <w:p w14:paraId="2977A6DE">
            <w:pPr>
              <w:jc w:val="center"/>
              <w:rPr>
                <w:rFonts w:hint="eastAsia"/>
                <w:sz w:val="15"/>
                <w:szCs w:val="15"/>
              </w:rPr>
            </w:pPr>
            <w:r>
              <w:rPr>
                <w:rFonts w:hint="eastAsia"/>
                <w:sz w:val="15"/>
                <w:szCs w:val="15"/>
              </w:rPr>
              <w:t>序号</w:t>
            </w:r>
          </w:p>
        </w:tc>
        <w:tc>
          <w:tcPr>
            <w:tcW w:w="791" w:type="dxa"/>
            <w:noWrap w:val="0"/>
            <w:vAlign w:val="top"/>
          </w:tcPr>
          <w:p w14:paraId="4E1EA91C">
            <w:pPr>
              <w:jc w:val="center"/>
              <w:rPr>
                <w:rFonts w:hint="eastAsia"/>
                <w:sz w:val="15"/>
                <w:szCs w:val="15"/>
              </w:rPr>
            </w:pPr>
            <w:r>
              <w:rPr>
                <w:rFonts w:hint="eastAsia"/>
                <w:sz w:val="15"/>
                <w:szCs w:val="15"/>
              </w:rPr>
              <w:t>执法类别</w:t>
            </w:r>
          </w:p>
        </w:tc>
        <w:tc>
          <w:tcPr>
            <w:tcW w:w="1595" w:type="dxa"/>
            <w:noWrap w:val="0"/>
            <w:vAlign w:val="top"/>
          </w:tcPr>
          <w:p w14:paraId="49ACC872">
            <w:pPr>
              <w:jc w:val="center"/>
              <w:rPr>
                <w:rFonts w:hint="eastAsia"/>
                <w:sz w:val="15"/>
                <w:szCs w:val="15"/>
              </w:rPr>
            </w:pPr>
            <w:r>
              <w:rPr>
                <w:rFonts w:hint="eastAsia"/>
                <w:sz w:val="15"/>
                <w:szCs w:val="15"/>
              </w:rPr>
              <w:t>审核事项</w:t>
            </w:r>
          </w:p>
        </w:tc>
        <w:tc>
          <w:tcPr>
            <w:tcW w:w="797" w:type="dxa"/>
            <w:noWrap w:val="0"/>
            <w:vAlign w:val="top"/>
          </w:tcPr>
          <w:p w14:paraId="0693017E">
            <w:pPr>
              <w:jc w:val="center"/>
              <w:rPr>
                <w:rFonts w:hint="eastAsia"/>
                <w:sz w:val="15"/>
                <w:szCs w:val="15"/>
              </w:rPr>
            </w:pPr>
            <w:r>
              <w:rPr>
                <w:rFonts w:hint="eastAsia"/>
                <w:sz w:val="15"/>
                <w:szCs w:val="15"/>
              </w:rPr>
              <w:t>承办机构</w:t>
            </w:r>
          </w:p>
        </w:tc>
        <w:tc>
          <w:tcPr>
            <w:tcW w:w="3988" w:type="dxa"/>
            <w:noWrap w:val="0"/>
            <w:vAlign w:val="top"/>
          </w:tcPr>
          <w:p w14:paraId="60BD7E84">
            <w:pPr>
              <w:jc w:val="center"/>
              <w:rPr>
                <w:rFonts w:hint="eastAsia"/>
                <w:sz w:val="15"/>
                <w:szCs w:val="15"/>
              </w:rPr>
            </w:pPr>
            <w:r>
              <w:rPr>
                <w:rFonts w:hint="eastAsia"/>
                <w:sz w:val="15"/>
                <w:szCs w:val="15"/>
              </w:rPr>
              <w:t>审核条件</w:t>
            </w:r>
          </w:p>
        </w:tc>
        <w:tc>
          <w:tcPr>
            <w:tcW w:w="2872" w:type="dxa"/>
            <w:noWrap w:val="0"/>
            <w:vAlign w:val="top"/>
          </w:tcPr>
          <w:p w14:paraId="1CB8E488">
            <w:pPr>
              <w:jc w:val="center"/>
              <w:rPr>
                <w:rFonts w:hint="eastAsia"/>
                <w:sz w:val="15"/>
                <w:szCs w:val="15"/>
              </w:rPr>
            </w:pPr>
            <w:r>
              <w:rPr>
                <w:rFonts w:hint="eastAsia"/>
                <w:sz w:val="15"/>
                <w:szCs w:val="15"/>
              </w:rPr>
              <w:t>审核依据</w:t>
            </w:r>
          </w:p>
        </w:tc>
        <w:tc>
          <w:tcPr>
            <w:tcW w:w="797" w:type="dxa"/>
            <w:noWrap w:val="0"/>
            <w:vAlign w:val="top"/>
          </w:tcPr>
          <w:p w14:paraId="7E8CA717">
            <w:pPr>
              <w:jc w:val="center"/>
              <w:rPr>
                <w:rFonts w:hint="eastAsia"/>
                <w:sz w:val="15"/>
                <w:szCs w:val="15"/>
              </w:rPr>
            </w:pPr>
            <w:r>
              <w:rPr>
                <w:rFonts w:hint="eastAsia"/>
                <w:sz w:val="15"/>
                <w:szCs w:val="15"/>
              </w:rPr>
              <w:t>审核机构</w:t>
            </w:r>
          </w:p>
        </w:tc>
        <w:tc>
          <w:tcPr>
            <w:tcW w:w="1275" w:type="dxa"/>
            <w:noWrap w:val="0"/>
            <w:vAlign w:val="top"/>
          </w:tcPr>
          <w:p w14:paraId="2E23B54F">
            <w:pPr>
              <w:jc w:val="center"/>
              <w:rPr>
                <w:rFonts w:hint="eastAsia"/>
                <w:sz w:val="15"/>
                <w:szCs w:val="15"/>
              </w:rPr>
            </w:pPr>
            <w:r>
              <w:rPr>
                <w:rFonts w:hint="eastAsia"/>
                <w:sz w:val="15"/>
                <w:szCs w:val="15"/>
              </w:rPr>
              <w:t>提交约审核材料</w:t>
            </w:r>
          </w:p>
        </w:tc>
        <w:tc>
          <w:tcPr>
            <w:tcW w:w="957" w:type="dxa"/>
            <w:noWrap w:val="0"/>
            <w:vAlign w:val="top"/>
          </w:tcPr>
          <w:p w14:paraId="2C37295F">
            <w:pPr>
              <w:jc w:val="center"/>
              <w:rPr>
                <w:rFonts w:hint="eastAsia"/>
                <w:sz w:val="15"/>
                <w:szCs w:val="15"/>
              </w:rPr>
            </w:pPr>
            <w:r>
              <w:rPr>
                <w:rFonts w:hint="eastAsia"/>
                <w:sz w:val="15"/>
                <w:szCs w:val="15"/>
              </w:rPr>
              <w:t>审核重点</w:t>
            </w:r>
          </w:p>
        </w:tc>
        <w:tc>
          <w:tcPr>
            <w:tcW w:w="964" w:type="dxa"/>
            <w:noWrap w:val="0"/>
            <w:vAlign w:val="top"/>
          </w:tcPr>
          <w:p w14:paraId="68159335">
            <w:pPr>
              <w:jc w:val="center"/>
              <w:rPr>
                <w:rFonts w:hint="eastAsia"/>
                <w:sz w:val="15"/>
                <w:szCs w:val="15"/>
              </w:rPr>
            </w:pPr>
            <w:r>
              <w:rPr>
                <w:rFonts w:hint="eastAsia"/>
                <w:sz w:val="15"/>
                <w:szCs w:val="15"/>
              </w:rPr>
              <w:t>审核期限</w:t>
            </w:r>
          </w:p>
        </w:tc>
      </w:tr>
      <w:tr w14:paraId="722A8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8" w:hRule="atLeast"/>
        </w:trPr>
        <w:tc>
          <w:tcPr>
            <w:tcW w:w="484" w:type="dxa"/>
            <w:noWrap w:val="0"/>
            <w:vAlign w:val="top"/>
          </w:tcPr>
          <w:p w14:paraId="47186C64">
            <w:pPr>
              <w:rPr>
                <w:rFonts w:hint="eastAsia"/>
                <w:sz w:val="15"/>
                <w:szCs w:val="15"/>
              </w:rPr>
            </w:pPr>
            <w:r>
              <w:rPr>
                <w:rFonts w:hint="eastAsia"/>
                <w:sz w:val="15"/>
                <w:szCs w:val="15"/>
              </w:rPr>
              <w:t>1</w:t>
            </w:r>
          </w:p>
        </w:tc>
        <w:tc>
          <w:tcPr>
            <w:tcW w:w="791" w:type="dxa"/>
            <w:noWrap w:val="0"/>
            <w:vAlign w:val="top"/>
          </w:tcPr>
          <w:p w14:paraId="769FA358">
            <w:pPr>
              <w:rPr>
                <w:rFonts w:hint="eastAsia"/>
                <w:sz w:val="13"/>
                <w:szCs w:val="13"/>
              </w:rPr>
            </w:pPr>
            <w:r>
              <w:rPr>
                <w:rFonts w:hint="eastAsia"/>
                <w:sz w:val="13"/>
                <w:szCs w:val="13"/>
              </w:rPr>
              <w:t>行政处罚</w:t>
            </w:r>
          </w:p>
        </w:tc>
        <w:tc>
          <w:tcPr>
            <w:tcW w:w="1595" w:type="dxa"/>
            <w:noWrap w:val="0"/>
            <w:vAlign w:val="top"/>
          </w:tcPr>
          <w:p w14:paraId="483540A4">
            <w:pPr>
              <w:rPr>
                <w:rFonts w:hint="eastAsia"/>
                <w:sz w:val="13"/>
                <w:szCs w:val="13"/>
              </w:rPr>
            </w:pPr>
            <w:r>
              <w:rPr>
                <w:rFonts w:hint="eastAsia"/>
                <w:sz w:val="13"/>
                <w:szCs w:val="13"/>
              </w:rPr>
              <w:t>审核对社会保险经办机构及医疗机构，药品经营单位等社会保险服务机构以敲诈，仿造证明材料或其他手段窃取</w:t>
            </w:r>
          </w:p>
        </w:tc>
        <w:tc>
          <w:tcPr>
            <w:tcW w:w="797" w:type="dxa"/>
            <w:noWrap w:val="0"/>
            <w:vAlign w:val="top"/>
          </w:tcPr>
          <w:p w14:paraId="6CC589F2">
            <w:pPr>
              <w:rPr>
                <w:rFonts w:hint="eastAsia"/>
                <w:sz w:val="13"/>
                <w:szCs w:val="13"/>
              </w:rPr>
            </w:pPr>
            <w:r>
              <w:rPr>
                <w:rFonts w:hint="eastAsia"/>
                <w:sz w:val="13"/>
                <w:szCs w:val="13"/>
              </w:rPr>
              <w:t>基金监管股</w:t>
            </w:r>
          </w:p>
        </w:tc>
        <w:tc>
          <w:tcPr>
            <w:tcW w:w="3988" w:type="dxa"/>
            <w:noWrap w:val="0"/>
            <w:vAlign w:val="top"/>
          </w:tcPr>
          <w:p w14:paraId="2E85C9BC">
            <w:pPr>
              <w:rPr>
                <w:rFonts w:hint="eastAsia"/>
                <w:sz w:val="13"/>
                <w:szCs w:val="13"/>
              </w:rPr>
            </w:pPr>
            <w:r>
              <w:rPr>
                <w:rFonts w:hint="eastAsia"/>
                <w:sz w:val="13"/>
                <w:szCs w:val="13"/>
              </w:rPr>
              <w:t>在对社会保险服务机构骗取社会基金进行处罚有下列情形之一的。当进行法制审核：</w:t>
            </w:r>
          </w:p>
          <w:p w14:paraId="66B4AD3B">
            <w:pPr>
              <w:rPr>
                <w:rFonts w:hint="eastAsia"/>
                <w:sz w:val="13"/>
                <w:szCs w:val="13"/>
              </w:rPr>
            </w:pPr>
            <w:r>
              <w:rPr>
                <w:rFonts w:hint="eastAsia"/>
                <w:sz w:val="13"/>
                <w:szCs w:val="13"/>
              </w:rPr>
              <w:t>1.拟受罚案件涉及重大国家利益和公共利益的事项，可能造成重大社会影响引发社会风险的；</w:t>
            </w:r>
          </w:p>
          <w:p w14:paraId="1065908A">
            <w:pPr>
              <w:rPr>
                <w:rFonts w:hint="eastAsia"/>
                <w:sz w:val="13"/>
                <w:szCs w:val="13"/>
              </w:rPr>
            </w:pPr>
            <w:r>
              <w:rPr>
                <w:rFonts w:hint="eastAsia"/>
                <w:sz w:val="13"/>
                <w:szCs w:val="13"/>
              </w:rPr>
              <w:t>2.对社会保险机构处30万元以上罚款的。</w:t>
            </w:r>
          </w:p>
          <w:p w14:paraId="5025B9EA">
            <w:pPr>
              <w:rPr>
                <w:rFonts w:hint="eastAsia"/>
                <w:sz w:val="13"/>
                <w:szCs w:val="13"/>
              </w:rPr>
            </w:pPr>
            <w:r>
              <w:rPr>
                <w:rFonts w:hint="eastAsia"/>
                <w:sz w:val="13"/>
                <w:szCs w:val="13"/>
              </w:rPr>
              <w:t>3.拟处罚事件未经听证经济作出执法决定的；</w:t>
            </w:r>
          </w:p>
          <w:p w14:paraId="7B204454">
            <w:pPr>
              <w:rPr>
                <w:rFonts w:hint="eastAsia"/>
                <w:sz w:val="13"/>
                <w:szCs w:val="13"/>
              </w:rPr>
            </w:pPr>
            <w:r>
              <w:rPr>
                <w:rFonts w:hint="eastAsia"/>
                <w:sz w:val="13"/>
                <w:szCs w:val="13"/>
              </w:rPr>
              <w:t>4.行政执法部门认为处罚案件当法制审核的；</w:t>
            </w:r>
          </w:p>
          <w:p w14:paraId="2F281C46">
            <w:pPr>
              <w:rPr>
                <w:rFonts w:hint="eastAsia"/>
                <w:sz w:val="13"/>
                <w:szCs w:val="13"/>
              </w:rPr>
            </w:pPr>
            <w:r>
              <w:rPr>
                <w:rFonts w:hint="eastAsia"/>
                <w:sz w:val="13"/>
                <w:szCs w:val="13"/>
              </w:rPr>
              <w:t>5.其他法律、法规、规章规定当进行法制审核的。</w:t>
            </w:r>
          </w:p>
        </w:tc>
        <w:tc>
          <w:tcPr>
            <w:tcW w:w="2872" w:type="dxa"/>
            <w:noWrap w:val="0"/>
            <w:vAlign w:val="top"/>
          </w:tcPr>
          <w:p w14:paraId="692C511A">
            <w:pPr>
              <w:rPr>
                <w:rFonts w:hint="eastAsia"/>
                <w:sz w:val="13"/>
                <w:szCs w:val="13"/>
              </w:rPr>
            </w:pPr>
            <w:r>
              <w:rPr>
                <w:rFonts w:hint="eastAsia"/>
                <w:sz w:val="13"/>
                <w:szCs w:val="13"/>
              </w:rPr>
              <w:t>1.《中华人民共和国社会保险法》第87条</w:t>
            </w:r>
          </w:p>
          <w:p w14:paraId="675BC41F">
            <w:pPr>
              <w:rPr>
                <w:rFonts w:hint="eastAsia"/>
                <w:sz w:val="13"/>
                <w:szCs w:val="13"/>
              </w:rPr>
            </w:pPr>
            <w:r>
              <w:rPr>
                <w:rFonts w:hint="eastAsia"/>
                <w:sz w:val="13"/>
                <w:szCs w:val="13"/>
              </w:rPr>
              <w:t>2. .《中华人民共和国社会保险法》第25条</w:t>
            </w:r>
          </w:p>
          <w:p w14:paraId="7F24EA0D">
            <w:pPr>
              <w:rPr>
                <w:rFonts w:hint="eastAsia"/>
                <w:sz w:val="13"/>
                <w:szCs w:val="13"/>
              </w:rPr>
            </w:pPr>
            <w:r>
              <w:rPr>
                <w:rFonts w:hint="eastAsia"/>
                <w:sz w:val="13"/>
                <w:szCs w:val="13"/>
              </w:rPr>
              <w:t>3. 《中华人民共和国行政处罚</w:t>
            </w:r>
            <w:r>
              <w:rPr>
                <w:rFonts w:hint="eastAsia"/>
                <w:sz w:val="13"/>
                <w:szCs w:val="13"/>
                <w:lang w:val="en-US" w:eastAsia="zh-CN"/>
              </w:rPr>
              <w:t>法</w:t>
            </w:r>
            <w:r>
              <w:rPr>
                <w:rFonts w:hint="eastAsia"/>
                <w:sz w:val="13"/>
                <w:szCs w:val="13"/>
              </w:rPr>
              <w:t>》</w:t>
            </w:r>
          </w:p>
        </w:tc>
        <w:tc>
          <w:tcPr>
            <w:tcW w:w="797" w:type="dxa"/>
            <w:vMerge w:val="restart"/>
            <w:noWrap w:val="0"/>
            <w:vAlign w:val="top"/>
          </w:tcPr>
          <w:p w14:paraId="0F2FE49A">
            <w:pPr>
              <w:rPr>
                <w:rFonts w:hint="eastAsia"/>
                <w:sz w:val="13"/>
                <w:szCs w:val="13"/>
              </w:rPr>
            </w:pPr>
          </w:p>
          <w:p w14:paraId="0237D7C3">
            <w:pPr>
              <w:rPr>
                <w:rFonts w:hint="eastAsia"/>
                <w:sz w:val="13"/>
                <w:szCs w:val="13"/>
              </w:rPr>
            </w:pPr>
          </w:p>
          <w:p w14:paraId="50E358C0">
            <w:pPr>
              <w:rPr>
                <w:rFonts w:hint="eastAsia"/>
                <w:sz w:val="13"/>
                <w:szCs w:val="13"/>
              </w:rPr>
            </w:pPr>
          </w:p>
          <w:p w14:paraId="768B3CAE">
            <w:pPr>
              <w:rPr>
                <w:rFonts w:hint="eastAsia"/>
                <w:sz w:val="13"/>
                <w:szCs w:val="13"/>
              </w:rPr>
            </w:pPr>
          </w:p>
          <w:p w14:paraId="2D4759CF">
            <w:pPr>
              <w:rPr>
                <w:rFonts w:hint="eastAsia"/>
                <w:sz w:val="13"/>
                <w:szCs w:val="13"/>
              </w:rPr>
            </w:pPr>
          </w:p>
          <w:p w14:paraId="3A4504F1">
            <w:pPr>
              <w:rPr>
                <w:rFonts w:hint="eastAsia"/>
                <w:sz w:val="13"/>
                <w:szCs w:val="13"/>
              </w:rPr>
            </w:pPr>
          </w:p>
          <w:p w14:paraId="26CED770">
            <w:pPr>
              <w:rPr>
                <w:rFonts w:hint="eastAsia"/>
                <w:sz w:val="13"/>
                <w:szCs w:val="13"/>
              </w:rPr>
            </w:pPr>
          </w:p>
          <w:p w14:paraId="162DCCFD">
            <w:pPr>
              <w:rPr>
                <w:rFonts w:hint="eastAsia"/>
                <w:sz w:val="13"/>
                <w:szCs w:val="13"/>
              </w:rPr>
            </w:pPr>
          </w:p>
          <w:p w14:paraId="6F9F88AD">
            <w:pPr>
              <w:rPr>
                <w:rFonts w:hint="eastAsia"/>
                <w:sz w:val="13"/>
                <w:szCs w:val="13"/>
              </w:rPr>
            </w:pPr>
          </w:p>
          <w:p w14:paraId="326E35C0">
            <w:pPr>
              <w:rPr>
                <w:rFonts w:hint="eastAsia"/>
                <w:sz w:val="13"/>
                <w:szCs w:val="13"/>
              </w:rPr>
            </w:pPr>
          </w:p>
          <w:p w14:paraId="4AC9E0BA">
            <w:pPr>
              <w:jc w:val="center"/>
              <w:rPr>
                <w:rFonts w:hint="eastAsia"/>
                <w:sz w:val="13"/>
                <w:szCs w:val="13"/>
              </w:rPr>
            </w:pPr>
            <w:r>
              <w:rPr>
                <w:rFonts w:hint="eastAsia"/>
                <w:sz w:val="13"/>
                <w:szCs w:val="13"/>
              </w:rPr>
              <w:t>财</w:t>
            </w:r>
          </w:p>
          <w:p w14:paraId="7750D074">
            <w:pPr>
              <w:jc w:val="center"/>
              <w:rPr>
                <w:rFonts w:hint="default" w:eastAsia="宋体"/>
                <w:sz w:val="13"/>
                <w:szCs w:val="13"/>
                <w:lang w:val="en-US" w:eastAsia="zh-CN"/>
              </w:rPr>
            </w:pPr>
            <w:r>
              <w:rPr>
                <w:rFonts w:hint="eastAsia"/>
                <w:sz w:val="13"/>
                <w:szCs w:val="13"/>
              </w:rPr>
              <w:t>务</w:t>
            </w:r>
            <w:r>
              <w:rPr>
                <w:rFonts w:hint="eastAsia"/>
                <w:sz w:val="13"/>
                <w:szCs w:val="13"/>
                <w:lang w:val="en-US" w:eastAsia="zh-CN"/>
              </w:rPr>
              <w:t>和法制小组</w:t>
            </w:r>
          </w:p>
        </w:tc>
        <w:tc>
          <w:tcPr>
            <w:tcW w:w="1275" w:type="dxa"/>
            <w:vMerge w:val="restart"/>
            <w:noWrap w:val="0"/>
            <w:vAlign w:val="top"/>
          </w:tcPr>
          <w:p w14:paraId="4D3ADF80">
            <w:pPr>
              <w:rPr>
                <w:rFonts w:hint="eastAsia"/>
                <w:sz w:val="13"/>
                <w:szCs w:val="13"/>
              </w:rPr>
            </w:pPr>
            <w:r>
              <w:rPr>
                <w:rFonts w:hint="eastAsia"/>
                <w:sz w:val="13"/>
                <w:szCs w:val="13"/>
              </w:rPr>
              <w:t>1.重大行政执法决定的审核终结含，</w:t>
            </w:r>
          </w:p>
          <w:p w14:paraId="05E92591">
            <w:pPr>
              <w:rPr>
                <w:rFonts w:hint="eastAsia"/>
                <w:sz w:val="13"/>
                <w:szCs w:val="13"/>
              </w:rPr>
            </w:pPr>
            <w:r>
              <w:rPr>
                <w:rFonts w:hint="eastAsia"/>
                <w:sz w:val="13"/>
                <w:szCs w:val="13"/>
              </w:rPr>
              <w:t>2.拟作出重大行政决定的情况说明，找明案件基本事实、透明法律、法规、规章和执行处罚基本情况、执法人员资格情况。</w:t>
            </w:r>
          </w:p>
          <w:p w14:paraId="7C688544">
            <w:pPr>
              <w:rPr>
                <w:rFonts w:hint="eastAsia"/>
                <w:sz w:val="13"/>
                <w:szCs w:val="13"/>
              </w:rPr>
            </w:pPr>
            <w:r>
              <w:rPr>
                <w:rFonts w:hint="eastAsia"/>
                <w:sz w:val="13"/>
                <w:szCs w:val="13"/>
              </w:rPr>
              <w:t>3.拟作出重大行政执法文书文本。</w:t>
            </w:r>
          </w:p>
          <w:p w14:paraId="778FED7B">
            <w:pPr>
              <w:rPr>
                <w:rFonts w:hint="eastAsia"/>
                <w:sz w:val="13"/>
                <w:szCs w:val="13"/>
              </w:rPr>
            </w:pPr>
            <w:r>
              <w:rPr>
                <w:rFonts w:hint="eastAsia"/>
                <w:sz w:val="13"/>
                <w:szCs w:val="13"/>
              </w:rPr>
              <w:t>4相关证件资料；</w:t>
            </w:r>
          </w:p>
          <w:p w14:paraId="6936EB9C">
            <w:pPr>
              <w:rPr>
                <w:rFonts w:hint="eastAsia"/>
                <w:sz w:val="13"/>
                <w:szCs w:val="13"/>
              </w:rPr>
            </w:pPr>
            <w:r>
              <w:rPr>
                <w:rFonts w:hint="eastAsia"/>
                <w:sz w:val="13"/>
                <w:szCs w:val="13"/>
              </w:rPr>
              <w:t>5.经过听证程序的当提交听证笔录；</w:t>
            </w:r>
          </w:p>
          <w:p w14:paraId="673D8411">
            <w:pPr>
              <w:rPr>
                <w:rFonts w:hint="eastAsia"/>
                <w:sz w:val="13"/>
                <w:szCs w:val="13"/>
              </w:rPr>
            </w:pPr>
            <w:r>
              <w:rPr>
                <w:rFonts w:hint="eastAsia"/>
                <w:sz w:val="13"/>
                <w:szCs w:val="13"/>
              </w:rPr>
              <w:t>6.经过评估、鉴定程序的、当条评估、鉴定报告；</w:t>
            </w:r>
          </w:p>
          <w:p w14:paraId="5D435ADB">
            <w:pPr>
              <w:rPr>
                <w:rFonts w:hint="eastAsia"/>
                <w:sz w:val="13"/>
                <w:szCs w:val="13"/>
              </w:rPr>
            </w:pPr>
            <w:r>
              <w:rPr>
                <w:rFonts w:hint="eastAsia"/>
                <w:sz w:val="13"/>
                <w:szCs w:val="13"/>
              </w:rPr>
              <w:t>7.经过专家评审的、当提交意见；</w:t>
            </w:r>
          </w:p>
          <w:p w14:paraId="03A3D357">
            <w:pPr>
              <w:rPr>
                <w:rFonts w:hint="eastAsia"/>
                <w:sz w:val="13"/>
                <w:szCs w:val="13"/>
              </w:rPr>
            </w:pPr>
            <w:r>
              <w:rPr>
                <w:rFonts w:hint="eastAsia"/>
                <w:sz w:val="13"/>
                <w:szCs w:val="13"/>
              </w:rPr>
              <w:t>8.其他相关资料。</w:t>
            </w:r>
          </w:p>
        </w:tc>
        <w:tc>
          <w:tcPr>
            <w:tcW w:w="957" w:type="dxa"/>
            <w:vMerge w:val="restart"/>
            <w:noWrap w:val="0"/>
            <w:vAlign w:val="top"/>
          </w:tcPr>
          <w:p w14:paraId="795D9D9F">
            <w:pPr>
              <w:rPr>
                <w:rFonts w:hint="eastAsia"/>
                <w:sz w:val="13"/>
                <w:szCs w:val="13"/>
              </w:rPr>
            </w:pPr>
            <w:r>
              <w:rPr>
                <w:rFonts w:hint="eastAsia"/>
                <w:sz w:val="13"/>
                <w:szCs w:val="13"/>
              </w:rPr>
              <w:t>1.行政执法是否合法、是否超越本机关法定权；行政执法人员是否类冒名执法资格；</w:t>
            </w:r>
          </w:p>
          <w:p w14:paraId="7C7E8268">
            <w:pPr>
              <w:rPr>
                <w:rFonts w:hint="eastAsia"/>
                <w:sz w:val="13"/>
                <w:szCs w:val="13"/>
              </w:rPr>
            </w:pPr>
            <w:r>
              <w:rPr>
                <w:rFonts w:hint="eastAsia"/>
                <w:sz w:val="13"/>
                <w:szCs w:val="13"/>
              </w:rPr>
              <w:t>2.程序是否合法；</w:t>
            </w:r>
          </w:p>
          <w:p w14:paraId="1BEDDE20">
            <w:pPr>
              <w:rPr>
                <w:rFonts w:hint="eastAsia"/>
                <w:sz w:val="13"/>
                <w:szCs w:val="13"/>
              </w:rPr>
            </w:pPr>
            <w:r>
              <w:rPr>
                <w:rFonts w:hint="eastAsia"/>
                <w:sz w:val="13"/>
                <w:szCs w:val="13"/>
              </w:rPr>
              <w:t>3.主要事实是否清楚；证据是否确凿、充分。</w:t>
            </w:r>
          </w:p>
          <w:p w14:paraId="7DF30B62">
            <w:pPr>
              <w:rPr>
                <w:rFonts w:hint="eastAsia"/>
                <w:sz w:val="13"/>
                <w:szCs w:val="13"/>
              </w:rPr>
            </w:pPr>
            <w:r>
              <w:rPr>
                <w:rFonts w:hint="eastAsia"/>
                <w:sz w:val="13"/>
                <w:szCs w:val="13"/>
              </w:rPr>
              <w:t>4适用法律、法规、规章是否准确、数量基准是否适当；</w:t>
            </w:r>
          </w:p>
          <w:p w14:paraId="01E8DFA1">
            <w:pPr>
              <w:rPr>
                <w:rFonts w:hint="eastAsia"/>
                <w:sz w:val="13"/>
                <w:szCs w:val="13"/>
              </w:rPr>
            </w:pPr>
            <w:r>
              <w:rPr>
                <w:rFonts w:hint="eastAsia"/>
                <w:sz w:val="13"/>
                <w:szCs w:val="13"/>
              </w:rPr>
              <w:t>5.执法是否超越本机关法定权限或者超越职权的情形；</w:t>
            </w:r>
          </w:p>
          <w:p w14:paraId="584F7E02">
            <w:pPr>
              <w:rPr>
                <w:rFonts w:hint="eastAsia"/>
                <w:sz w:val="13"/>
                <w:szCs w:val="13"/>
              </w:rPr>
            </w:pPr>
            <w:r>
              <w:rPr>
                <w:rFonts w:hint="eastAsia"/>
                <w:sz w:val="13"/>
                <w:szCs w:val="13"/>
              </w:rPr>
              <w:t>6.行政执法义务的制作是否完善齐备；</w:t>
            </w:r>
          </w:p>
          <w:p w14:paraId="7FA5F9F5">
            <w:pPr>
              <w:rPr>
                <w:rFonts w:hint="eastAsia"/>
                <w:sz w:val="13"/>
                <w:szCs w:val="13"/>
              </w:rPr>
            </w:pPr>
            <w:r>
              <w:rPr>
                <w:rFonts w:hint="eastAsia"/>
                <w:sz w:val="13"/>
                <w:szCs w:val="13"/>
              </w:rPr>
              <w:t>7.违反行为是否涉及犯罪、犯罪移送司法机关；</w:t>
            </w:r>
          </w:p>
          <w:p w14:paraId="0AD91987">
            <w:pPr>
              <w:rPr>
                <w:rFonts w:hint="eastAsia"/>
                <w:sz w:val="13"/>
                <w:szCs w:val="13"/>
              </w:rPr>
            </w:pPr>
            <w:r>
              <w:rPr>
                <w:rFonts w:hint="eastAsia"/>
                <w:sz w:val="13"/>
                <w:szCs w:val="13"/>
              </w:rPr>
              <w:t>8.其他接受审核的内容。</w:t>
            </w:r>
          </w:p>
        </w:tc>
        <w:tc>
          <w:tcPr>
            <w:tcW w:w="964" w:type="dxa"/>
            <w:vMerge w:val="restart"/>
            <w:noWrap w:val="0"/>
            <w:vAlign w:val="top"/>
          </w:tcPr>
          <w:p w14:paraId="2867F555">
            <w:pPr>
              <w:jc w:val="center"/>
              <w:rPr>
                <w:rFonts w:hint="eastAsia"/>
                <w:sz w:val="13"/>
                <w:szCs w:val="13"/>
              </w:rPr>
            </w:pPr>
          </w:p>
          <w:p w14:paraId="70B56FC6">
            <w:pPr>
              <w:jc w:val="center"/>
              <w:rPr>
                <w:rFonts w:hint="eastAsia"/>
                <w:sz w:val="13"/>
                <w:szCs w:val="13"/>
              </w:rPr>
            </w:pPr>
          </w:p>
          <w:p w14:paraId="40A66C92">
            <w:pPr>
              <w:jc w:val="center"/>
              <w:rPr>
                <w:rFonts w:hint="eastAsia"/>
                <w:sz w:val="13"/>
                <w:szCs w:val="13"/>
              </w:rPr>
            </w:pPr>
          </w:p>
          <w:p w14:paraId="1B14BCC8">
            <w:pPr>
              <w:jc w:val="center"/>
              <w:rPr>
                <w:rFonts w:hint="eastAsia"/>
                <w:sz w:val="13"/>
                <w:szCs w:val="13"/>
              </w:rPr>
            </w:pPr>
          </w:p>
          <w:p w14:paraId="6E406B2B">
            <w:pPr>
              <w:jc w:val="center"/>
              <w:rPr>
                <w:rFonts w:hint="eastAsia"/>
                <w:sz w:val="13"/>
                <w:szCs w:val="13"/>
              </w:rPr>
            </w:pPr>
          </w:p>
          <w:p w14:paraId="2BF9FBFE">
            <w:pPr>
              <w:jc w:val="center"/>
              <w:rPr>
                <w:rFonts w:hint="eastAsia"/>
                <w:sz w:val="13"/>
                <w:szCs w:val="13"/>
              </w:rPr>
            </w:pPr>
          </w:p>
          <w:p w14:paraId="75F177FF">
            <w:pPr>
              <w:jc w:val="center"/>
              <w:rPr>
                <w:rFonts w:hint="eastAsia"/>
                <w:sz w:val="13"/>
                <w:szCs w:val="13"/>
              </w:rPr>
            </w:pPr>
          </w:p>
          <w:p w14:paraId="4D27698F">
            <w:pPr>
              <w:jc w:val="center"/>
              <w:rPr>
                <w:rFonts w:hint="eastAsia"/>
                <w:sz w:val="13"/>
                <w:szCs w:val="13"/>
              </w:rPr>
            </w:pPr>
          </w:p>
          <w:p w14:paraId="1EA66F0C">
            <w:pPr>
              <w:jc w:val="center"/>
              <w:rPr>
                <w:rFonts w:hint="eastAsia"/>
                <w:sz w:val="13"/>
                <w:szCs w:val="13"/>
              </w:rPr>
            </w:pPr>
          </w:p>
          <w:p w14:paraId="3C189411">
            <w:pPr>
              <w:jc w:val="center"/>
              <w:rPr>
                <w:rFonts w:hint="eastAsia"/>
                <w:sz w:val="13"/>
                <w:szCs w:val="13"/>
              </w:rPr>
            </w:pPr>
          </w:p>
          <w:p w14:paraId="2F13FB84">
            <w:pPr>
              <w:jc w:val="center"/>
              <w:rPr>
                <w:rFonts w:hint="eastAsia"/>
                <w:sz w:val="13"/>
                <w:szCs w:val="13"/>
              </w:rPr>
            </w:pPr>
          </w:p>
          <w:p w14:paraId="2AE40A53">
            <w:pPr>
              <w:jc w:val="center"/>
              <w:rPr>
                <w:rFonts w:hint="eastAsia"/>
                <w:sz w:val="13"/>
                <w:szCs w:val="13"/>
              </w:rPr>
            </w:pPr>
            <w:r>
              <w:rPr>
                <w:rFonts w:hint="eastAsia"/>
                <w:sz w:val="13"/>
                <w:szCs w:val="13"/>
              </w:rPr>
              <w:t>10个月工作日</w:t>
            </w:r>
          </w:p>
        </w:tc>
      </w:tr>
      <w:tr w14:paraId="6AAB5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8" w:hRule="atLeast"/>
        </w:trPr>
        <w:tc>
          <w:tcPr>
            <w:tcW w:w="484" w:type="dxa"/>
            <w:noWrap w:val="0"/>
            <w:vAlign w:val="top"/>
          </w:tcPr>
          <w:p w14:paraId="28D76CE6">
            <w:pPr>
              <w:rPr>
                <w:rFonts w:hint="eastAsia"/>
                <w:sz w:val="15"/>
                <w:szCs w:val="15"/>
              </w:rPr>
            </w:pPr>
            <w:r>
              <w:rPr>
                <w:rFonts w:hint="eastAsia"/>
                <w:sz w:val="15"/>
                <w:szCs w:val="15"/>
              </w:rPr>
              <w:t>2</w:t>
            </w:r>
          </w:p>
        </w:tc>
        <w:tc>
          <w:tcPr>
            <w:tcW w:w="791" w:type="dxa"/>
            <w:noWrap w:val="0"/>
            <w:vAlign w:val="top"/>
          </w:tcPr>
          <w:p w14:paraId="69C3D4CB">
            <w:pPr>
              <w:rPr>
                <w:rFonts w:hint="eastAsia"/>
                <w:sz w:val="13"/>
                <w:szCs w:val="13"/>
              </w:rPr>
            </w:pPr>
            <w:r>
              <w:rPr>
                <w:rFonts w:hint="eastAsia"/>
                <w:sz w:val="13"/>
                <w:szCs w:val="13"/>
              </w:rPr>
              <w:t>行政处罚</w:t>
            </w:r>
          </w:p>
        </w:tc>
        <w:tc>
          <w:tcPr>
            <w:tcW w:w="1595" w:type="dxa"/>
            <w:noWrap w:val="0"/>
            <w:vAlign w:val="top"/>
          </w:tcPr>
          <w:p w14:paraId="21A1DB17">
            <w:pPr>
              <w:rPr>
                <w:rFonts w:hint="eastAsia"/>
                <w:sz w:val="13"/>
                <w:szCs w:val="13"/>
              </w:rPr>
            </w:pPr>
            <w:r>
              <w:rPr>
                <w:rFonts w:hint="eastAsia"/>
                <w:sz w:val="13"/>
                <w:szCs w:val="13"/>
              </w:rPr>
              <w:t>审核对个人、缴费单位以集体、传送证明材料或其他手段骗取社会保险的待遇处罚</w:t>
            </w:r>
          </w:p>
        </w:tc>
        <w:tc>
          <w:tcPr>
            <w:tcW w:w="797" w:type="dxa"/>
            <w:noWrap w:val="0"/>
            <w:vAlign w:val="top"/>
          </w:tcPr>
          <w:p w14:paraId="66D22C11">
            <w:pPr>
              <w:rPr>
                <w:rFonts w:hint="eastAsia"/>
                <w:sz w:val="13"/>
                <w:szCs w:val="13"/>
              </w:rPr>
            </w:pPr>
            <w:r>
              <w:rPr>
                <w:rFonts w:hint="eastAsia"/>
                <w:sz w:val="13"/>
                <w:szCs w:val="13"/>
              </w:rPr>
              <w:t>基金监管股</w:t>
            </w:r>
          </w:p>
        </w:tc>
        <w:tc>
          <w:tcPr>
            <w:tcW w:w="3988" w:type="dxa"/>
            <w:noWrap w:val="0"/>
            <w:vAlign w:val="top"/>
          </w:tcPr>
          <w:p w14:paraId="41C1419C">
            <w:pPr>
              <w:rPr>
                <w:rFonts w:hint="eastAsia"/>
                <w:sz w:val="13"/>
                <w:szCs w:val="13"/>
              </w:rPr>
            </w:pPr>
            <w:r>
              <w:rPr>
                <w:rFonts w:hint="eastAsia"/>
                <w:sz w:val="13"/>
                <w:szCs w:val="13"/>
              </w:rPr>
              <w:t>对个人，单位骗取社会保险待遇进行处罚有下列情形之一的，当进行法制审核；</w:t>
            </w:r>
          </w:p>
          <w:p w14:paraId="08D6C720">
            <w:pPr>
              <w:rPr>
                <w:rFonts w:hint="eastAsia"/>
                <w:sz w:val="13"/>
                <w:szCs w:val="13"/>
              </w:rPr>
            </w:pPr>
            <w:r>
              <w:rPr>
                <w:rFonts w:hint="eastAsia"/>
                <w:sz w:val="13"/>
                <w:szCs w:val="13"/>
              </w:rPr>
              <w:t>1.拟受罚案件涉及重大国家利益和公共利益，可能造成重大社会影响引发社会风险的；</w:t>
            </w:r>
          </w:p>
          <w:p w14:paraId="5A0501E8">
            <w:pPr>
              <w:rPr>
                <w:rFonts w:hint="eastAsia"/>
                <w:sz w:val="13"/>
                <w:szCs w:val="13"/>
              </w:rPr>
            </w:pPr>
            <w:r>
              <w:rPr>
                <w:rFonts w:hint="eastAsia"/>
                <w:sz w:val="13"/>
                <w:szCs w:val="13"/>
              </w:rPr>
              <w:t>2. 对公民处1万元以上罚款，对法人或其他纳税人30万元以上罚款；</w:t>
            </w:r>
          </w:p>
          <w:p w14:paraId="2166B11D">
            <w:pPr>
              <w:rPr>
                <w:rFonts w:hint="eastAsia"/>
                <w:sz w:val="13"/>
                <w:szCs w:val="13"/>
              </w:rPr>
            </w:pPr>
            <w:r>
              <w:rPr>
                <w:rFonts w:hint="eastAsia"/>
                <w:sz w:val="13"/>
                <w:szCs w:val="13"/>
              </w:rPr>
              <w:t>3.对经听证程序作出行政执法决定的；</w:t>
            </w:r>
          </w:p>
          <w:p w14:paraId="605138AC">
            <w:pPr>
              <w:rPr>
                <w:rFonts w:hint="eastAsia"/>
                <w:sz w:val="13"/>
                <w:szCs w:val="13"/>
              </w:rPr>
            </w:pPr>
            <w:r>
              <w:rPr>
                <w:rFonts w:hint="eastAsia"/>
                <w:sz w:val="13"/>
                <w:szCs w:val="13"/>
              </w:rPr>
              <w:t>4.行政执法部门认为拟处罚案件当进行法制审核的；</w:t>
            </w:r>
          </w:p>
          <w:p w14:paraId="04D1AE68">
            <w:pPr>
              <w:rPr>
                <w:rFonts w:hint="eastAsia"/>
                <w:sz w:val="13"/>
                <w:szCs w:val="13"/>
              </w:rPr>
            </w:pPr>
            <w:r>
              <w:rPr>
                <w:rFonts w:hint="eastAsia"/>
                <w:sz w:val="13"/>
                <w:szCs w:val="13"/>
              </w:rPr>
              <w:t>5. 其他法律、法规、规章规定当进行法制审核的。</w:t>
            </w:r>
          </w:p>
        </w:tc>
        <w:tc>
          <w:tcPr>
            <w:tcW w:w="2872" w:type="dxa"/>
            <w:noWrap w:val="0"/>
            <w:vAlign w:val="top"/>
          </w:tcPr>
          <w:p w14:paraId="6A0C1602">
            <w:pPr>
              <w:rPr>
                <w:rFonts w:hint="eastAsia"/>
                <w:sz w:val="13"/>
                <w:szCs w:val="13"/>
              </w:rPr>
            </w:pPr>
            <w:r>
              <w:rPr>
                <w:rFonts w:hint="eastAsia"/>
                <w:sz w:val="13"/>
                <w:szCs w:val="13"/>
              </w:rPr>
              <w:t>1.《中华人民共和国社会保险法》第88条</w:t>
            </w:r>
          </w:p>
          <w:p w14:paraId="567E996A">
            <w:pPr>
              <w:rPr>
                <w:rFonts w:hint="eastAsia"/>
                <w:sz w:val="13"/>
                <w:szCs w:val="13"/>
              </w:rPr>
            </w:pPr>
            <w:r>
              <w:rPr>
                <w:rFonts w:hint="eastAsia"/>
                <w:sz w:val="13"/>
                <w:szCs w:val="13"/>
              </w:rPr>
              <w:t>《中华人民共和国行政处罚</w:t>
            </w:r>
            <w:r>
              <w:rPr>
                <w:rFonts w:hint="eastAsia"/>
                <w:sz w:val="13"/>
                <w:szCs w:val="13"/>
                <w:lang w:val="en-US" w:eastAsia="zh-CN"/>
              </w:rPr>
              <w:t>法</w:t>
            </w:r>
            <w:r>
              <w:rPr>
                <w:rFonts w:hint="eastAsia"/>
                <w:sz w:val="13"/>
                <w:szCs w:val="13"/>
              </w:rPr>
              <w:t>》</w:t>
            </w:r>
          </w:p>
        </w:tc>
        <w:tc>
          <w:tcPr>
            <w:tcW w:w="797" w:type="dxa"/>
            <w:vMerge w:val="continue"/>
            <w:noWrap w:val="0"/>
            <w:vAlign w:val="top"/>
          </w:tcPr>
          <w:p w14:paraId="48145E4F">
            <w:pPr>
              <w:rPr>
                <w:rFonts w:hint="eastAsia"/>
                <w:sz w:val="13"/>
                <w:szCs w:val="13"/>
              </w:rPr>
            </w:pPr>
          </w:p>
        </w:tc>
        <w:tc>
          <w:tcPr>
            <w:tcW w:w="1275" w:type="dxa"/>
            <w:vMerge w:val="continue"/>
            <w:noWrap w:val="0"/>
            <w:vAlign w:val="top"/>
          </w:tcPr>
          <w:p w14:paraId="611513D3">
            <w:pPr>
              <w:rPr>
                <w:rFonts w:hint="eastAsia"/>
                <w:sz w:val="13"/>
                <w:szCs w:val="13"/>
              </w:rPr>
            </w:pPr>
          </w:p>
        </w:tc>
        <w:tc>
          <w:tcPr>
            <w:tcW w:w="957" w:type="dxa"/>
            <w:vMerge w:val="continue"/>
            <w:noWrap w:val="0"/>
            <w:vAlign w:val="top"/>
          </w:tcPr>
          <w:p w14:paraId="4AF9F285">
            <w:pPr>
              <w:rPr>
                <w:rFonts w:hint="eastAsia"/>
                <w:sz w:val="13"/>
                <w:szCs w:val="13"/>
              </w:rPr>
            </w:pPr>
          </w:p>
        </w:tc>
        <w:tc>
          <w:tcPr>
            <w:tcW w:w="964" w:type="dxa"/>
            <w:vMerge w:val="continue"/>
            <w:noWrap w:val="0"/>
            <w:vAlign w:val="top"/>
          </w:tcPr>
          <w:p w14:paraId="3EE371D6">
            <w:pPr>
              <w:rPr>
                <w:rFonts w:hint="eastAsia"/>
                <w:sz w:val="13"/>
                <w:szCs w:val="13"/>
              </w:rPr>
            </w:pPr>
          </w:p>
        </w:tc>
      </w:tr>
      <w:tr w14:paraId="5FE0D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484" w:type="dxa"/>
            <w:noWrap w:val="0"/>
            <w:vAlign w:val="top"/>
          </w:tcPr>
          <w:p w14:paraId="09BA6540">
            <w:pPr>
              <w:rPr>
                <w:rFonts w:hint="eastAsia"/>
                <w:sz w:val="15"/>
                <w:szCs w:val="15"/>
              </w:rPr>
            </w:pPr>
            <w:r>
              <w:rPr>
                <w:rFonts w:hint="eastAsia"/>
                <w:sz w:val="15"/>
                <w:szCs w:val="15"/>
              </w:rPr>
              <w:t>3</w:t>
            </w:r>
          </w:p>
        </w:tc>
        <w:tc>
          <w:tcPr>
            <w:tcW w:w="791" w:type="dxa"/>
            <w:noWrap w:val="0"/>
            <w:vAlign w:val="top"/>
          </w:tcPr>
          <w:p w14:paraId="42633E72">
            <w:pPr>
              <w:rPr>
                <w:rFonts w:hint="eastAsia"/>
                <w:sz w:val="13"/>
                <w:szCs w:val="13"/>
              </w:rPr>
            </w:pPr>
            <w:r>
              <w:rPr>
                <w:rFonts w:hint="eastAsia"/>
                <w:sz w:val="13"/>
                <w:szCs w:val="13"/>
              </w:rPr>
              <w:t>行政处罚</w:t>
            </w:r>
          </w:p>
        </w:tc>
        <w:tc>
          <w:tcPr>
            <w:tcW w:w="1595" w:type="dxa"/>
            <w:noWrap w:val="0"/>
            <w:vAlign w:val="top"/>
          </w:tcPr>
          <w:p w14:paraId="67B76DF2">
            <w:pPr>
              <w:rPr>
                <w:rFonts w:hint="eastAsia"/>
                <w:sz w:val="13"/>
                <w:szCs w:val="13"/>
              </w:rPr>
            </w:pPr>
            <w:r>
              <w:rPr>
                <w:rFonts w:hint="eastAsia"/>
                <w:sz w:val="13"/>
                <w:szCs w:val="13"/>
              </w:rPr>
              <w:t>审核拟对用人单位未核规定缴纳和代扣代缴社会医疗保险费的处罚事项</w:t>
            </w:r>
          </w:p>
        </w:tc>
        <w:tc>
          <w:tcPr>
            <w:tcW w:w="797" w:type="dxa"/>
            <w:noWrap w:val="0"/>
            <w:vAlign w:val="top"/>
          </w:tcPr>
          <w:p w14:paraId="4AB35B52">
            <w:pPr>
              <w:rPr>
                <w:rFonts w:hint="eastAsia" w:eastAsia="宋体"/>
                <w:sz w:val="13"/>
                <w:szCs w:val="13"/>
                <w:lang w:val="en-US" w:eastAsia="zh-CN"/>
              </w:rPr>
            </w:pPr>
            <w:r>
              <w:rPr>
                <w:rFonts w:hint="eastAsia"/>
                <w:sz w:val="13"/>
                <w:szCs w:val="13"/>
              </w:rPr>
              <w:t>基金监管股、财务和</w:t>
            </w:r>
            <w:r>
              <w:rPr>
                <w:rFonts w:hint="eastAsia"/>
                <w:sz w:val="13"/>
                <w:szCs w:val="13"/>
                <w:lang w:val="en-US" w:eastAsia="zh-CN"/>
              </w:rPr>
              <w:t>法制小组</w:t>
            </w:r>
          </w:p>
        </w:tc>
        <w:tc>
          <w:tcPr>
            <w:tcW w:w="3988" w:type="dxa"/>
            <w:noWrap w:val="0"/>
            <w:vAlign w:val="top"/>
          </w:tcPr>
          <w:p w14:paraId="03902CC9">
            <w:pPr>
              <w:rPr>
                <w:rFonts w:hint="eastAsia"/>
                <w:sz w:val="13"/>
                <w:szCs w:val="13"/>
              </w:rPr>
            </w:pPr>
            <w:r>
              <w:rPr>
                <w:rFonts w:hint="eastAsia"/>
                <w:sz w:val="13"/>
                <w:szCs w:val="13"/>
              </w:rPr>
              <w:t>对缴费单位未按规定缴纳和代缴医疗保险费进行处罚有下列情形之一的，当进行法规审核；</w:t>
            </w:r>
          </w:p>
          <w:p w14:paraId="20CE1F2C">
            <w:pPr>
              <w:rPr>
                <w:rFonts w:hint="eastAsia"/>
                <w:sz w:val="13"/>
                <w:szCs w:val="13"/>
              </w:rPr>
            </w:pPr>
            <w:r>
              <w:rPr>
                <w:rFonts w:hint="eastAsia"/>
                <w:sz w:val="13"/>
                <w:szCs w:val="13"/>
              </w:rPr>
              <w:t>1. 拟受罚案件涉及重大国家利益和公共利益，可能造成重大社会影响引发社会风险的；</w:t>
            </w:r>
          </w:p>
          <w:p w14:paraId="7A750200">
            <w:pPr>
              <w:rPr>
                <w:rFonts w:hint="eastAsia"/>
                <w:sz w:val="13"/>
                <w:szCs w:val="13"/>
              </w:rPr>
            </w:pPr>
            <w:r>
              <w:rPr>
                <w:rFonts w:hint="eastAsia"/>
                <w:sz w:val="13"/>
                <w:szCs w:val="13"/>
              </w:rPr>
              <w:t>2. 对法人或者其他组织以30万元以上罚款的，对征收的缴纳金超过本金的；</w:t>
            </w:r>
          </w:p>
          <w:p w14:paraId="75503A58">
            <w:pPr>
              <w:rPr>
                <w:rFonts w:hint="eastAsia"/>
                <w:sz w:val="13"/>
                <w:szCs w:val="13"/>
              </w:rPr>
            </w:pPr>
            <w:r>
              <w:rPr>
                <w:rFonts w:hint="eastAsia"/>
                <w:sz w:val="13"/>
                <w:szCs w:val="13"/>
              </w:rPr>
              <w:t>3. 对经听证程序作出行政执法决定的；</w:t>
            </w:r>
          </w:p>
          <w:p w14:paraId="3E793FEA">
            <w:pPr>
              <w:rPr>
                <w:rFonts w:hint="eastAsia"/>
                <w:sz w:val="13"/>
                <w:szCs w:val="13"/>
              </w:rPr>
            </w:pPr>
            <w:r>
              <w:rPr>
                <w:rFonts w:hint="eastAsia"/>
                <w:sz w:val="13"/>
                <w:szCs w:val="13"/>
              </w:rPr>
              <w:t>4.行政执法部门认为拟处罚案件当进行法制审核的，</w:t>
            </w:r>
          </w:p>
          <w:p w14:paraId="24707893">
            <w:pPr>
              <w:rPr>
                <w:rFonts w:hint="eastAsia"/>
                <w:sz w:val="13"/>
                <w:szCs w:val="13"/>
              </w:rPr>
            </w:pPr>
            <w:r>
              <w:rPr>
                <w:rFonts w:hint="eastAsia"/>
                <w:sz w:val="13"/>
                <w:szCs w:val="13"/>
              </w:rPr>
              <w:t>5. 其他法律、法规、规章规定当进行法制审核的。</w:t>
            </w:r>
          </w:p>
        </w:tc>
        <w:tc>
          <w:tcPr>
            <w:tcW w:w="2872" w:type="dxa"/>
            <w:noWrap w:val="0"/>
            <w:vAlign w:val="top"/>
          </w:tcPr>
          <w:p w14:paraId="30159A0B">
            <w:pPr>
              <w:rPr>
                <w:rFonts w:hint="eastAsia"/>
                <w:sz w:val="13"/>
                <w:szCs w:val="13"/>
              </w:rPr>
            </w:pPr>
            <w:r>
              <w:rPr>
                <w:rFonts w:hint="eastAsia"/>
                <w:sz w:val="13"/>
                <w:szCs w:val="13"/>
              </w:rPr>
              <w:t>1.《中华人民共和国社会保险法》第84条、第86条</w:t>
            </w:r>
          </w:p>
          <w:p w14:paraId="3068C217">
            <w:pPr>
              <w:rPr>
                <w:rFonts w:hint="eastAsia"/>
                <w:sz w:val="13"/>
                <w:szCs w:val="13"/>
              </w:rPr>
            </w:pPr>
            <w:r>
              <w:rPr>
                <w:rFonts w:hint="eastAsia"/>
                <w:sz w:val="13"/>
                <w:szCs w:val="13"/>
              </w:rPr>
              <w:t>2《社会保险费征缴</w:t>
            </w:r>
            <w:bookmarkStart w:id="0" w:name="_GoBack"/>
            <w:bookmarkEnd w:id="0"/>
            <w:r>
              <w:rPr>
                <w:rFonts w:hint="eastAsia"/>
                <w:sz w:val="13"/>
                <w:szCs w:val="13"/>
                <w:lang w:val="en-US" w:eastAsia="zh-CN"/>
              </w:rPr>
              <w:t>暂行</w:t>
            </w:r>
            <w:r>
              <w:rPr>
                <w:rFonts w:hint="eastAsia"/>
                <w:sz w:val="13"/>
                <w:szCs w:val="13"/>
              </w:rPr>
              <w:t>条例》第23条</w:t>
            </w:r>
          </w:p>
          <w:p w14:paraId="05335D7F">
            <w:pPr>
              <w:rPr>
                <w:rFonts w:hint="eastAsia"/>
                <w:sz w:val="13"/>
                <w:szCs w:val="13"/>
              </w:rPr>
            </w:pPr>
            <w:r>
              <w:rPr>
                <w:rFonts w:hint="eastAsia"/>
                <w:sz w:val="13"/>
                <w:szCs w:val="13"/>
              </w:rPr>
              <w:t>3.《中华人民共和国行政处罚</w:t>
            </w:r>
            <w:r>
              <w:rPr>
                <w:rFonts w:hint="eastAsia"/>
                <w:sz w:val="13"/>
                <w:szCs w:val="13"/>
                <w:lang w:val="en-US" w:eastAsia="zh-CN"/>
              </w:rPr>
              <w:t>法</w:t>
            </w:r>
            <w:r>
              <w:rPr>
                <w:rFonts w:hint="eastAsia"/>
                <w:sz w:val="13"/>
                <w:szCs w:val="13"/>
              </w:rPr>
              <w:t>》</w:t>
            </w:r>
          </w:p>
          <w:p w14:paraId="2EF27A23">
            <w:pPr>
              <w:rPr>
                <w:rFonts w:hint="eastAsia"/>
                <w:sz w:val="13"/>
                <w:szCs w:val="13"/>
              </w:rPr>
            </w:pPr>
            <w:r>
              <w:rPr>
                <w:rFonts w:hint="eastAsia"/>
                <w:sz w:val="13"/>
                <w:szCs w:val="13"/>
              </w:rPr>
              <w:t>4. 《社会保险费征缴</w:t>
            </w:r>
            <w:r>
              <w:rPr>
                <w:rFonts w:hint="eastAsia"/>
                <w:sz w:val="13"/>
                <w:szCs w:val="13"/>
                <w:lang w:val="en-US" w:eastAsia="zh-CN"/>
              </w:rPr>
              <w:t>暂行</w:t>
            </w:r>
            <w:r>
              <w:rPr>
                <w:rFonts w:hint="eastAsia"/>
                <w:sz w:val="13"/>
                <w:szCs w:val="13"/>
              </w:rPr>
              <w:t>条例》第13条</w:t>
            </w:r>
          </w:p>
          <w:p w14:paraId="61C59338">
            <w:pPr>
              <w:rPr>
                <w:rFonts w:hint="eastAsia"/>
                <w:sz w:val="13"/>
                <w:szCs w:val="13"/>
              </w:rPr>
            </w:pPr>
            <w:r>
              <w:rPr>
                <w:rFonts w:hint="eastAsia"/>
                <w:sz w:val="13"/>
                <w:szCs w:val="13"/>
              </w:rPr>
              <w:t>5.《实施、中华人民共和国社会保险法、若干规定》第20条</w:t>
            </w:r>
          </w:p>
        </w:tc>
        <w:tc>
          <w:tcPr>
            <w:tcW w:w="797" w:type="dxa"/>
            <w:vMerge w:val="continue"/>
            <w:noWrap w:val="0"/>
            <w:vAlign w:val="top"/>
          </w:tcPr>
          <w:p w14:paraId="170E87D5">
            <w:pPr>
              <w:rPr>
                <w:rFonts w:hint="eastAsia"/>
                <w:sz w:val="13"/>
                <w:szCs w:val="13"/>
              </w:rPr>
            </w:pPr>
          </w:p>
        </w:tc>
        <w:tc>
          <w:tcPr>
            <w:tcW w:w="1275" w:type="dxa"/>
            <w:vMerge w:val="continue"/>
            <w:noWrap w:val="0"/>
            <w:vAlign w:val="top"/>
          </w:tcPr>
          <w:p w14:paraId="6B8F0C4E">
            <w:pPr>
              <w:rPr>
                <w:rFonts w:hint="eastAsia"/>
                <w:sz w:val="13"/>
                <w:szCs w:val="13"/>
              </w:rPr>
            </w:pPr>
          </w:p>
        </w:tc>
        <w:tc>
          <w:tcPr>
            <w:tcW w:w="957" w:type="dxa"/>
            <w:vMerge w:val="continue"/>
            <w:noWrap w:val="0"/>
            <w:vAlign w:val="top"/>
          </w:tcPr>
          <w:p w14:paraId="59035B86">
            <w:pPr>
              <w:rPr>
                <w:rFonts w:hint="eastAsia"/>
                <w:sz w:val="13"/>
                <w:szCs w:val="13"/>
              </w:rPr>
            </w:pPr>
          </w:p>
        </w:tc>
        <w:tc>
          <w:tcPr>
            <w:tcW w:w="964" w:type="dxa"/>
            <w:vMerge w:val="continue"/>
            <w:noWrap w:val="0"/>
            <w:vAlign w:val="top"/>
          </w:tcPr>
          <w:p w14:paraId="771308A1">
            <w:pPr>
              <w:rPr>
                <w:rFonts w:hint="eastAsia"/>
                <w:sz w:val="13"/>
                <w:szCs w:val="13"/>
              </w:rPr>
            </w:pPr>
          </w:p>
        </w:tc>
      </w:tr>
      <w:tr w14:paraId="0DF93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trPr>
        <w:tc>
          <w:tcPr>
            <w:tcW w:w="484" w:type="dxa"/>
            <w:noWrap w:val="0"/>
            <w:vAlign w:val="top"/>
          </w:tcPr>
          <w:p w14:paraId="754A2A47">
            <w:pPr>
              <w:rPr>
                <w:rFonts w:hint="eastAsia"/>
                <w:sz w:val="15"/>
                <w:szCs w:val="15"/>
              </w:rPr>
            </w:pPr>
            <w:r>
              <w:rPr>
                <w:rFonts w:hint="eastAsia"/>
                <w:sz w:val="15"/>
                <w:szCs w:val="15"/>
              </w:rPr>
              <w:t>,4</w:t>
            </w:r>
          </w:p>
        </w:tc>
        <w:tc>
          <w:tcPr>
            <w:tcW w:w="791" w:type="dxa"/>
            <w:noWrap w:val="0"/>
            <w:vAlign w:val="top"/>
          </w:tcPr>
          <w:p w14:paraId="69F89EDA">
            <w:pPr>
              <w:rPr>
                <w:rFonts w:hint="eastAsia"/>
                <w:sz w:val="13"/>
                <w:szCs w:val="13"/>
              </w:rPr>
            </w:pPr>
            <w:r>
              <w:rPr>
                <w:rFonts w:hint="eastAsia"/>
                <w:sz w:val="13"/>
                <w:szCs w:val="13"/>
              </w:rPr>
              <w:t>行政处罚</w:t>
            </w:r>
          </w:p>
        </w:tc>
        <w:tc>
          <w:tcPr>
            <w:tcW w:w="1595" w:type="dxa"/>
            <w:noWrap w:val="0"/>
            <w:vAlign w:val="top"/>
          </w:tcPr>
          <w:p w14:paraId="69581C69">
            <w:pPr>
              <w:rPr>
                <w:rFonts w:hint="eastAsia"/>
                <w:sz w:val="13"/>
                <w:szCs w:val="13"/>
              </w:rPr>
            </w:pPr>
            <w:r>
              <w:rPr>
                <w:rFonts w:hint="eastAsia"/>
                <w:sz w:val="13"/>
                <w:szCs w:val="13"/>
              </w:rPr>
              <w:t>审核拟对用人单位未核规定缴纳和代扣代缴社会医疗保险费的处罚事项</w:t>
            </w:r>
          </w:p>
        </w:tc>
        <w:tc>
          <w:tcPr>
            <w:tcW w:w="797" w:type="dxa"/>
            <w:noWrap w:val="0"/>
            <w:vAlign w:val="top"/>
          </w:tcPr>
          <w:p w14:paraId="7D25FCCD">
            <w:pPr>
              <w:rPr>
                <w:rFonts w:hint="default" w:eastAsia="宋体"/>
                <w:sz w:val="13"/>
                <w:szCs w:val="13"/>
                <w:lang w:val="en-US" w:eastAsia="zh-CN"/>
              </w:rPr>
            </w:pPr>
            <w:r>
              <w:rPr>
                <w:rFonts w:hint="eastAsia"/>
                <w:sz w:val="13"/>
                <w:szCs w:val="13"/>
              </w:rPr>
              <w:t>基金监管股、财务和</w:t>
            </w:r>
            <w:r>
              <w:rPr>
                <w:rFonts w:hint="eastAsia"/>
                <w:sz w:val="13"/>
                <w:szCs w:val="13"/>
                <w:lang w:val="en-US" w:eastAsia="zh-CN"/>
              </w:rPr>
              <w:t>法制小组</w:t>
            </w:r>
          </w:p>
        </w:tc>
        <w:tc>
          <w:tcPr>
            <w:tcW w:w="3988" w:type="dxa"/>
            <w:noWrap w:val="0"/>
            <w:vAlign w:val="top"/>
          </w:tcPr>
          <w:p w14:paraId="7B3AF2CD">
            <w:pPr>
              <w:rPr>
                <w:rFonts w:hint="eastAsia"/>
                <w:sz w:val="13"/>
                <w:szCs w:val="13"/>
              </w:rPr>
            </w:pPr>
          </w:p>
          <w:p w14:paraId="4FAE9453">
            <w:pPr>
              <w:rPr>
                <w:rFonts w:hint="eastAsia"/>
                <w:sz w:val="13"/>
                <w:szCs w:val="13"/>
              </w:rPr>
            </w:pPr>
            <w:r>
              <w:rPr>
                <w:rFonts w:hint="eastAsia"/>
                <w:sz w:val="13"/>
                <w:szCs w:val="13"/>
              </w:rPr>
              <w:t>拟对用人单位欠缴社会医疗保险费采取强制决定进行法制审核</w:t>
            </w:r>
          </w:p>
        </w:tc>
        <w:tc>
          <w:tcPr>
            <w:tcW w:w="2872" w:type="dxa"/>
            <w:noWrap w:val="0"/>
            <w:vAlign w:val="top"/>
          </w:tcPr>
          <w:p w14:paraId="58679F85">
            <w:pPr>
              <w:rPr>
                <w:rFonts w:hint="eastAsia"/>
                <w:sz w:val="13"/>
                <w:szCs w:val="13"/>
              </w:rPr>
            </w:pPr>
            <w:r>
              <w:rPr>
                <w:rFonts w:hint="eastAsia"/>
                <w:sz w:val="13"/>
                <w:szCs w:val="13"/>
              </w:rPr>
              <w:t>1.《中华人民共和国社会保险法》第63条</w:t>
            </w:r>
          </w:p>
          <w:p w14:paraId="23D37B0C">
            <w:pPr>
              <w:rPr>
                <w:rFonts w:hint="eastAsia"/>
                <w:sz w:val="13"/>
                <w:szCs w:val="13"/>
              </w:rPr>
            </w:pPr>
            <w:r>
              <w:rPr>
                <w:rFonts w:hint="eastAsia"/>
                <w:sz w:val="13"/>
                <w:szCs w:val="13"/>
              </w:rPr>
              <w:t>2. 《中华人民共和国行政处罚</w:t>
            </w:r>
            <w:r>
              <w:rPr>
                <w:rFonts w:hint="eastAsia"/>
                <w:sz w:val="13"/>
                <w:szCs w:val="13"/>
                <w:lang w:val="en-US" w:eastAsia="zh-CN"/>
              </w:rPr>
              <w:t>法</w:t>
            </w:r>
            <w:r>
              <w:rPr>
                <w:rFonts w:hint="eastAsia"/>
                <w:sz w:val="13"/>
                <w:szCs w:val="13"/>
              </w:rPr>
              <w:t>》</w:t>
            </w:r>
          </w:p>
          <w:p w14:paraId="1CCD9B13">
            <w:pPr>
              <w:rPr>
                <w:rFonts w:hint="eastAsia"/>
                <w:sz w:val="13"/>
                <w:szCs w:val="13"/>
              </w:rPr>
            </w:pPr>
          </w:p>
        </w:tc>
        <w:tc>
          <w:tcPr>
            <w:tcW w:w="797" w:type="dxa"/>
            <w:vMerge w:val="continue"/>
            <w:noWrap w:val="0"/>
            <w:vAlign w:val="top"/>
          </w:tcPr>
          <w:p w14:paraId="03367B63">
            <w:pPr>
              <w:rPr>
                <w:rFonts w:hint="eastAsia"/>
                <w:sz w:val="13"/>
                <w:szCs w:val="13"/>
              </w:rPr>
            </w:pPr>
          </w:p>
        </w:tc>
        <w:tc>
          <w:tcPr>
            <w:tcW w:w="1275" w:type="dxa"/>
            <w:vMerge w:val="continue"/>
            <w:noWrap w:val="0"/>
            <w:vAlign w:val="top"/>
          </w:tcPr>
          <w:p w14:paraId="3687A58D">
            <w:pPr>
              <w:rPr>
                <w:rFonts w:hint="eastAsia"/>
                <w:sz w:val="13"/>
                <w:szCs w:val="13"/>
              </w:rPr>
            </w:pPr>
          </w:p>
        </w:tc>
        <w:tc>
          <w:tcPr>
            <w:tcW w:w="957" w:type="dxa"/>
            <w:vMerge w:val="continue"/>
            <w:noWrap w:val="0"/>
            <w:vAlign w:val="top"/>
          </w:tcPr>
          <w:p w14:paraId="58C0CC47">
            <w:pPr>
              <w:rPr>
                <w:rFonts w:hint="eastAsia"/>
                <w:sz w:val="13"/>
                <w:szCs w:val="13"/>
              </w:rPr>
            </w:pPr>
          </w:p>
        </w:tc>
        <w:tc>
          <w:tcPr>
            <w:tcW w:w="964" w:type="dxa"/>
            <w:vMerge w:val="continue"/>
            <w:noWrap w:val="0"/>
            <w:vAlign w:val="top"/>
          </w:tcPr>
          <w:p w14:paraId="513AADF7">
            <w:pPr>
              <w:rPr>
                <w:rFonts w:hint="eastAsia"/>
                <w:sz w:val="13"/>
                <w:szCs w:val="13"/>
              </w:rPr>
            </w:pPr>
          </w:p>
        </w:tc>
      </w:tr>
      <w:tr w14:paraId="4AE83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484" w:type="dxa"/>
            <w:noWrap w:val="0"/>
            <w:vAlign w:val="top"/>
          </w:tcPr>
          <w:p w14:paraId="14C6F069">
            <w:pPr>
              <w:rPr>
                <w:rFonts w:hint="eastAsia"/>
                <w:sz w:val="15"/>
                <w:szCs w:val="15"/>
              </w:rPr>
            </w:pPr>
            <w:r>
              <w:rPr>
                <w:rFonts w:hint="eastAsia"/>
                <w:sz w:val="15"/>
                <w:szCs w:val="15"/>
              </w:rPr>
              <w:t>5</w:t>
            </w:r>
          </w:p>
        </w:tc>
        <w:tc>
          <w:tcPr>
            <w:tcW w:w="791" w:type="dxa"/>
            <w:noWrap w:val="0"/>
            <w:vAlign w:val="top"/>
          </w:tcPr>
          <w:p w14:paraId="37270624">
            <w:pPr>
              <w:rPr>
                <w:rFonts w:hint="eastAsia"/>
                <w:sz w:val="13"/>
                <w:szCs w:val="13"/>
              </w:rPr>
            </w:pPr>
            <w:r>
              <w:rPr>
                <w:rFonts w:hint="eastAsia"/>
                <w:sz w:val="13"/>
                <w:szCs w:val="13"/>
              </w:rPr>
              <w:t>行政处罚</w:t>
            </w:r>
          </w:p>
        </w:tc>
        <w:tc>
          <w:tcPr>
            <w:tcW w:w="1595" w:type="dxa"/>
            <w:noWrap w:val="0"/>
            <w:vAlign w:val="top"/>
          </w:tcPr>
          <w:p w14:paraId="5581C2D6">
            <w:pPr>
              <w:rPr>
                <w:rFonts w:hint="eastAsia"/>
                <w:sz w:val="13"/>
                <w:szCs w:val="13"/>
              </w:rPr>
            </w:pPr>
            <w:r>
              <w:rPr>
                <w:rFonts w:hint="eastAsia"/>
                <w:sz w:val="13"/>
                <w:szCs w:val="13"/>
              </w:rPr>
              <w:t>审核对定点医疗机构，定点零售药店违反协议处罚决定</w:t>
            </w:r>
          </w:p>
        </w:tc>
        <w:tc>
          <w:tcPr>
            <w:tcW w:w="797" w:type="dxa"/>
            <w:noWrap w:val="0"/>
            <w:vAlign w:val="top"/>
          </w:tcPr>
          <w:p w14:paraId="19FBDE41">
            <w:pPr>
              <w:rPr>
                <w:rFonts w:hint="eastAsia"/>
                <w:sz w:val="13"/>
                <w:szCs w:val="13"/>
              </w:rPr>
            </w:pPr>
            <w:r>
              <w:rPr>
                <w:rFonts w:hint="eastAsia"/>
                <w:sz w:val="13"/>
                <w:szCs w:val="13"/>
              </w:rPr>
              <w:t>基金监管股、医药服务管理股</w:t>
            </w:r>
          </w:p>
        </w:tc>
        <w:tc>
          <w:tcPr>
            <w:tcW w:w="3988" w:type="dxa"/>
            <w:noWrap w:val="0"/>
            <w:vAlign w:val="top"/>
          </w:tcPr>
          <w:p w14:paraId="70F32E7A">
            <w:pPr>
              <w:rPr>
                <w:rFonts w:hint="eastAsia"/>
                <w:sz w:val="13"/>
                <w:szCs w:val="13"/>
              </w:rPr>
            </w:pPr>
            <w:r>
              <w:rPr>
                <w:rFonts w:hint="eastAsia"/>
                <w:sz w:val="13"/>
                <w:szCs w:val="13"/>
              </w:rPr>
              <w:t>拟类令医保经办机构对定点医疗机构、零售药店提出暂停医疗服务协议3个月（含）以上以及医疗服务决定的或未经听证程序决定作出行政执法决定的，当进行法制审核。</w:t>
            </w:r>
          </w:p>
        </w:tc>
        <w:tc>
          <w:tcPr>
            <w:tcW w:w="2872" w:type="dxa"/>
            <w:noWrap w:val="0"/>
            <w:vAlign w:val="top"/>
          </w:tcPr>
          <w:p w14:paraId="4E9298D6">
            <w:pPr>
              <w:rPr>
                <w:rFonts w:hint="eastAsia"/>
                <w:sz w:val="13"/>
                <w:szCs w:val="13"/>
              </w:rPr>
            </w:pPr>
            <w:r>
              <w:rPr>
                <w:rFonts w:hint="eastAsia"/>
                <w:sz w:val="13"/>
                <w:szCs w:val="13"/>
              </w:rPr>
              <w:t>1.《中华人民共和国社会保险法》第63条</w:t>
            </w:r>
          </w:p>
          <w:p w14:paraId="0ECA2CF9">
            <w:pPr>
              <w:rPr>
                <w:rFonts w:hint="eastAsia"/>
                <w:sz w:val="13"/>
                <w:szCs w:val="13"/>
              </w:rPr>
            </w:pPr>
            <w:r>
              <w:rPr>
                <w:rFonts w:hint="eastAsia"/>
                <w:sz w:val="13"/>
                <w:szCs w:val="13"/>
              </w:rPr>
              <w:t>2. 《中华人民共和国行政处罚</w:t>
            </w:r>
            <w:r>
              <w:rPr>
                <w:rFonts w:hint="eastAsia"/>
                <w:sz w:val="13"/>
                <w:szCs w:val="13"/>
                <w:lang w:val="en-US" w:eastAsia="zh-CN"/>
              </w:rPr>
              <w:t>法</w:t>
            </w:r>
            <w:r>
              <w:rPr>
                <w:rFonts w:hint="eastAsia"/>
                <w:sz w:val="13"/>
                <w:szCs w:val="13"/>
              </w:rPr>
              <w:t>》</w:t>
            </w:r>
          </w:p>
          <w:p w14:paraId="6D2150CC">
            <w:pPr>
              <w:rPr>
                <w:rFonts w:hint="eastAsia"/>
                <w:sz w:val="13"/>
                <w:szCs w:val="13"/>
              </w:rPr>
            </w:pPr>
          </w:p>
        </w:tc>
        <w:tc>
          <w:tcPr>
            <w:tcW w:w="797" w:type="dxa"/>
            <w:vMerge w:val="continue"/>
            <w:noWrap w:val="0"/>
            <w:vAlign w:val="top"/>
          </w:tcPr>
          <w:p w14:paraId="38CDC910">
            <w:pPr>
              <w:rPr>
                <w:rFonts w:hint="eastAsia"/>
                <w:sz w:val="13"/>
                <w:szCs w:val="13"/>
              </w:rPr>
            </w:pPr>
          </w:p>
        </w:tc>
        <w:tc>
          <w:tcPr>
            <w:tcW w:w="1275" w:type="dxa"/>
            <w:vMerge w:val="continue"/>
            <w:noWrap w:val="0"/>
            <w:vAlign w:val="top"/>
          </w:tcPr>
          <w:p w14:paraId="6AB5A738">
            <w:pPr>
              <w:rPr>
                <w:rFonts w:hint="eastAsia"/>
                <w:sz w:val="13"/>
                <w:szCs w:val="13"/>
              </w:rPr>
            </w:pPr>
          </w:p>
        </w:tc>
        <w:tc>
          <w:tcPr>
            <w:tcW w:w="957" w:type="dxa"/>
            <w:vMerge w:val="continue"/>
            <w:noWrap w:val="0"/>
            <w:vAlign w:val="top"/>
          </w:tcPr>
          <w:p w14:paraId="096F8538">
            <w:pPr>
              <w:rPr>
                <w:rFonts w:hint="eastAsia"/>
                <w:sz w:val="13"/>
                <w:szCs w:val="13"/>
              </w:rPr>
            </w:pPr>
          </w:p>
        </w:tc>
        <w:tc>
          <w:tcPr>
            <w:tcW w:w="964" w:type="dxa"/>
            <w:vMerge w:val="continue"/>
            <w:noWrap w:val="0"/>
            <w:vAlign w:val="top"/>
          </w:tcPr>
          <w:p w14:paraId="0744C79A">
            <w:pPr>
              <w:rPr>
                <w:rFonts w:hint="eastAsia"/>
                <w:sz w:val="13"/>
                <w:szCs w:val="13"/>
              </w:rPr>
            </w:pPr>
          </w:p>
        </w:tc>
      </w:tr>
    </w:tbl>
    <w:p w14:paraId="7D8A0CE5"/>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WI1NTc0OTc5ZDFmMWUxNjJmZGE1MTEyMDI1MDAifQ=="/>
  </w:docVars>
  <w:rsids>
    <w:rsidRoot w:val="00000000"/>
    <w:rsid w:val="095F56D3"/>
    <w:rsid w:val="15A725CA"/>
    <w:rsid w:val="270F7D33"/>
    <w:rsid w:val="387E52A7"/>
    <w:rsid w:val="4D072D56"/>
    <w:rsid w:val="5B48289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1507</Words>
  <Characters>1563</Characters>
  <Lines>0</Lines>
  <Paragraphs>0</Paragraphs>
  <TotalTime>4</TotalTime>
  <ScaleCrop>false</ScaleCrop>
  <LinksUpToDate>false</LinksUpToDate>
  <CharactersWithSpaces>1574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2022-11-17T05:25:00Z</dcterms:created>
  <dc:creator>dell</dc:creator>
  <cp:lastModifiedBy>海风</cp:lastModifiedBy>
  <dcterms:modified xsi:type="dcterms:W3CDTF">2025-03-24T02:56:37Z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D3999E69D5BD4C9F9D9F244936E02BCE_13</vt:lpwstr>
  </property>
  <property fmtid="{D5CDD505-2E9C-101B-9397-08002B2CF9AE}" pid="4" name="KSOTemplateDocerSaveRecord">
    <vt:lpwstr>eyJoZGlkIjoiOTk3OTY4YWQwOGE0YmEzMjViODljZWE5MDZjZjk4MzciLCJ1c2VySWQiOiIzOTM3MTkxODAifQ==</vt:lpwstr>
  </property>
</Properties>
</file>