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13750" w:type="dxa"/>
        <w:jc w:val="center"/>
        <w:shd w:val="clear" w:color="auto" w:fill="auto"/>
        <w:tblLayout w:type="autofit"/>
        <w:tblCellMar>
          <w:top w:w="15" w:type="dxa"/>
          <w:left w:w="15" w:type="dxa"/>
          <w:bottom w:w="15" w:type="dxa"/>
          <w:right w:w="15" w:type="dxa"/>
        </w:tblCellMar>
      </w:tblPr>
      <w:tblGrid>
        <w:gridCol w:w="772"/>
        <w:gridCol w:w="1801"/>
        <w:gridCol w:w="3231"/>
        <w:gridCol w:w="2768"/>
        <w:gridCol w:w="859"/>
        <w:gridCol w:w="791"/>
        <w:gridCol w:w="1218"/>
        <w:gridCol w:w="1450"/>
        <w:gridCol w:w="860"/>
      </w:tblGrid>
      <w:tr>
        <w:tblPrEx>
          <w:tblCellMar>
            <w:top w:w="15" w:type="dxa"/>
            <w:left w:w="15" w:type="dxa"/>
            <w:bottom w:w="15" w:type="dxa"/>
            <w:right w:w="15" w:type="dxa"/>
          </w:tblCellMar>
        </w:tblPrEx>
        <w:trPr>
          <w:trHeight w:val="675" w:hRule="atLeast"/>
          <w:tblHeader/>
          <w:jc w:val="center"/>
        </w:trPr>
        <w:tc>
          <w:tcPr>
            <w:tcW w:w="13750" w:type="dxa"/>
            <w:gridSpan w:val="9"/>
            <w:tcBorders>
              <w:top w:val="nil"/>
              <w:left w:val="nil"/>
              <w:bottom w:val="single" w:color="000000" w:sz="8" w:space="0"/>
              <w:right w:val="nil"/>
            </w:tcBorders>
            <w:shd w:val="clear" w:color="auto" w:fill="auto"/>
            <w:tcMar>
              <w:top w:w="0" w:type="dxa"/>
              <w:bottom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45" w:beforeAutospacing="0" w:after="375" w:afterAutospacing="0"/>
              <w:ind w:left="0" w:right="0"/>
              <w:jc w:val="center"/>
              <w:rPr>
                <w:rFonts w:hint="eastAsia" w:ascii="宋体" w:hAnsi="宋体" w:eastAsia="宋体" w:cs="宋体"/>
                <w:b w:val="0"/>
                <w:bCs w:val="0"/>
                <w:color w:val="000000"/>
                <w:kern w:val="0"/>
                <w:sz w:val="24"/>
                <w:szCs w:val="24"/>
                <w:lang w:val="en-US" w:eastAsia="zh-CN" w:bidi="ar"/>
              </w:rPr>
            </w:pPr>
            <w:r>
              <w:rPr>
                <w:rFonts w:hint="eastAsia"/>
                <w:i w:val="0"/>
                <w:iCs w:val="0"/>
                <w:caps w:val="0"/>
                <w:color w:val="000000"/>
                <w:spacing w:val="0"/>
                <w:sz w:val="51"/>
                <w:szCs w:val="51"/>
                <w:lang w:eastAsia="zh-CN"/>
              </w:rPr>
              <w:t>应县</w:t>
            </w:r>
            <w:r>
              <w:rPr>
                <w:i w:val="0"/>
                <w:iCs w:val="0"/>
                <w:caps w:val="0"/>
                <w:color w:val="000000"/>
                <w:spacing w:val="0"/>
                <w:sz w:val="51"/>
                <w:szCs w:val="51"/>
              </w:rPr>
              <w:t>卫生健康</w:t>
            </w:r>
            <w:r>
              <w:rPr>
                <w:rFonts w:hint="eastAsia"/>
                <w:i w:val="0"/>
                <w:iCs w:val="0"/>
                <w:caps w:val="0"/>
                <w:color w:val="000000"/>
                <w:spacing w:val="0"/>
                <w:sz w:val="51"/>
                <w:szCs w:val="51"/>
                <w:lang w:eastAsia="zh-CN"/>
              </w:rPr>
              <w:t>和体育局</w:t>
            </w:r>
            <w:r>
              <w:rPr>
                <w:i w:val="0"/>
                <w:iCs w:val="0"/>
                <w:caps w:val="0"/>
                <w:color w:val="000000"/>
                <w:spacing w:val="0"/>
                <w:sz w:val="51"/>
                <w:szCs w:val="51"/>
              </w:rPr>
              <w:t>随机抽查事项清单</w:t>
            </w:r>
          </w:p>
        </w:tc>
      </w:tr>
      <w:tr>
        <w:tblPrEx>
          <w:tblCellMar>
            <w:top w:w="15" w:type="dxa"/>
            <w:left w:w="15" w:type="dxa"/>
            <w:bottom w:w="15" w:type="dxa"/>
            <w:right w:w="15" w:type="dxa"/>
          </w:tblCellMar>
        </w:tblPrEx>
        <w:trPr>
          <w:trHeight w:val="675" w:hRule="atLeast"/>
          <w:tblHeader/>
          <w:jc w:val="center"/>
        </w:trPr>
        <w:tc>
          <w:tcPr>
            <w:tcW w:w="772" w:type="dxa"/>
            <w:tcBorders>
              <w:top w:val="single" w:color="000000" w:sz="8" w:space="0"/>
              <w:left w:val="single" w:color="000000" w:sz="8" w:space="0"/>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序号</w:t>
            </w:r>
          </w:p>
        </w:tc>
        <w:tc>
          <w:tcPr>
            <w:tcW w:w="1801" w:type="dxa"/>
            <w:tcBorders>
              <w:top w:val="single" w:color="000000" w:sz="8" w:space="0"/>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抽查事项</w:t>
            </w:r>
          </w:p>
        </w:tc>
        <w:tc>
          <w:tcPr>
            <w:tcW w:w="3231" w:type="dxa"/>
            <w:tcBorders>
              <w:top w:val="single" w:color="000000" w:sz="8" w:space="0"/>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检查依据</w:t>
            </w:r>
          </w:p>
        </w:tc>
        <w:tc>
          <w:tcPr>
            <w:tcW w:w="2768" w:type="dxa"/>
            <w:tcBorders>
              <w:top w:val="single" w:color="000000" w:sz="8" w:space="0"/>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检查内容</w:t>
            </w:r>
          </w:p>
        </w:tc>
        <w:tc>
          <w:tcPr>
            <w:tcW w:w="859" w:type="dxa"/>
            <w:tcBorders>
              <w:top w:val="single" w:color="000000" w:sz="8" w:space="0"/>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检查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方式</w:t>
            </w:r>
          </w:p>
        </w:tc>
        <w:tc>
          <w:tcPr>
            <w:tcW w:w="791" w:type="dxa"/>
            <w:tcBorders>
              <w:top w:val="single" w:color="000000" w:sz="8" w:space="0"/>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适用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对象</w:t>
            </w:r>
          </w:p>
        </w:tc>
        <w:tc>
          <w:tcPr>
            <w:tcW w:w="1218" w:type="dxa"/>
            <w:tcBorders>
              <w:top w:val="single" w:color="000000" w:sz="8" w:space="0"/>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抽查比例</w:t>
            </w:r>
          </w:p>
        </w:tc>
        <w:tc>
          <w:tcPr>
            <w:tcW w:w="1450" w:type="dxa"/>
            <w:tcBorders>
              <w:top w:val="single" w:color="000000" w:sz="8" w:space="0"/>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抽查频次</w:t>
            </w:r>
          </w:p>
        </w:tc>
        <w:tc>
          <w:tcPr>
            <w:tcW w:w="860" w:type="dxa"/>
            <w:tcBorders>
              <w:top w:val="single" w:color="000000" w:sz="8" w:space="0"/>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备注</w:t>
            </w:r>
          </w:p>
        </w:tc>
      </w:tr>
      <w:tr>
        <w:tblPrEx>
          <w:shd w:val="clear" w:color="auto" w:fill="auto"/>
          <w:tblCellMar>
            <w:top w:w="15" w:type="dxa"/>
            <w:left w:w="15" w:type="dxa"/>
            <w:bottom w:w="15" w:type="dxa"/>
            <w:right w:w="15" w:type="dxa"/>
          </w:tblCellMar>
        </w:tblPrEx>
        <w:trPr>
          <w:trHeight w:val="675" w:hRule="atLeast"/>
          <w:jc w:val="center"/>
        </w:trPr>
        <w:tc>
          <w:tcPr>
            <w:tcW w:w="772" w:type="dxa"/>
            <w:tcBorders>
              <w:top w:val="single" w:color="000000" w:sz="8" w:space="0"/>
              <w:left w:val="single" w:color="000000" w:sz="8" w:space="0"/>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default"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1</w:t>
            </w:r>
          </w:p>
        </w:tc>
        <w:tc>
          <w:tcPr>
            <w:tcW w:w="1801" w:type="dxa"/>
            <w:tcBorders>
              <w:top w:val="single" w:color="000000" w:sz="8" w:space="0"/>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医疗机构监督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抽查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textAlignment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000000"/>
                <w:kern w:val="0"/>
                <w:sz w:val="24"/>
                <w:szCs w:val="24"/>
                <w:lang w:val="en-US" w:eastAsia="zh-CN" w:bidi="ar"/>
              </w:rPr>
              <w:t> </w:t>
            </w:r>
          </w:p>
        </w:tc>
        <w:tc>
          <w:tcPr>
            <w:tcW w:w="3231" w:type="dxa"/>
            <w:tcBorders>
              <w:top w:val="single" w:color="000000" w:sz="8" w:space="0"/>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《基本医疗卫生与健康促进法》《执业医师法》《护士条例》《医疗机构管理条例》《处方管理办法》《医疗技术临床应用管理办法》《医疗美容服务管理办法》等法律法规规章。</w:t>
            </w:r>
          </w:p>
        </w:tc>
        <w:tc>
          <w:tcPr>
            <w:tcW w:w="2768" w:type="dxa"/>
            <w:tcBorders>
              <w:top w:val="single" w:color="000000" w:sz="8" w:space="0"/>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医疗机构资质情况；</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医务人员依法执业情况；3、医疗技术管理情况；4、医疗文书情况；5、法律法规规章规定的其他事项。</w:t>
            </w:r>
          </w:p>
        </w:tc>
        <w:tc>
          <w:tcPr>
            <w:tcW w:w="859" w:type="dxa"/>
            <w:tcBorders>
              <w:top w:val="single" w:color="000000" w:sz="8" w:space="0"/>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现场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检查</w:t>
            </w:r>
          </w:p>
        </w:tc>
        <w:tc>
          <w:tcPr>
            <w:tcW w:w="791" w:type="dxa"/>
            <w:tcBorders>
              <w:top w:val="single" w:color="000000" w:sz="8" w:space="0"/>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医疗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机构</w:t>
            </w:r>
          </w:p>
        </w:tc>
        <w:tc>
          <w:tcPr>
            <w:tcW w:w="1218" w:type="dxa"/>
            <w:tcBorders>
              <w:top w:val="single" w:color="000000" w:sz="8" w:space="0"/>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textAlignment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根据年度工作计划和工作情况随时进行调整</w:t>
            </w:r>
          </w:p>
        </w:tc>
        <w:tc>
          <w:tcPr>
            <w:tcW w:w="1450" w:type="dxa"/>
            <w:tcBorders>
              <w:top w:val="single" w:color="000000" w:sz="8" w:space="0"/>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textAlignment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暂定1次，可根据风险程度适当增加</w:t>
            </w:r>
          </w:p>
        </w:tc>
        <w:tc>
          <w:tcPr>
            <w:tcW w:w="860" w:type="dxa"/>
            <w:tcBorders>
              <w:top w:val="single" w:color="000000" w:sz="8" w:space="0"/>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000000"/>
                <w:kern w:val="0"/>
                <w:sz w:val="24"/>
                <w:szCs w:val="24"/>
                <w:lang w:val="en-US" w:eastAsia="zh-CN" w:bidi="ar"/>
              </w:rPr>
            </w:pPr>
          </w:p>
        </w:tc>
      </w:tr>
      <w:tr>
        <w:tblPrEx>
          <w:tblCellMar>
            <w:top w:w="15" w:type="dxa"/>
            <w:left w:w="15" w:type="dxa"/>
            <w:bottom w:w="15" w:type="dxa"/>
            <w:right w:w="15" w:type="dxa"/>
          </w:tblCellMar>
        </w:tblPrEx>
        <w:trPr>
          <w:trHeight w:val="1324" w:hRule="atLeast"/>
          <w:jc w:val="center"/>
        </w:trPr>
        <w:tc>
          <w:tcPr>
            <w:tcW w:w="772" w:type="dxa"/>
            <w:tcBorders>
              <w:top w:val="nil"/>
              <w:left w:val="single" w:color="000000" w:sz="8" w:space="0"/>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2</w:t>
            </w:r>
          </w:p>
        </w:tc>
        <w:tc>
          <w:tcPr>
            <w:tcW w:w="180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传染病防治抽查</w:t>
            </w:r>
          </w:p>
        </w:tc>
        <w:tc>
          <w:tcPr>
            <w:tcW w:w="323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《传染病防治法》《突发公共卫生事件应急条例》《医疗机构预检分诊管理办法》《突发公共卫生事件与传染病疫情监测信息报告管理办法》</w:t>
            </w:r>
          </w:p>
        </w:tc>
        <w:tc>
          <w:tcPr>
            <w:tcW w:w="276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1、传染病疫情报告；2、传染病疫情控制；3、法律法规规章规定的其他事项。</w:t>
            </w:r>
          </w:p>
        </w:tc>
        <w:tc>
          <w:tcPr>
            <w:tcW w:w="859"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随机</w:t>
            </w:r>
          </w:p>
        </w:tc>
        <w:tc>
          <w:tcPr>
            <w:tcW w:w="79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医疗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卫生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机构</w:t>
            </w:r>
          </w:p>
        </w:tc>
        <w:tc>
          <w:tcPr>
            <w:tcW w:w="121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textAlignment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根据年度工作计划和工作情况随时进行调整</w:t>
            </w:r>
          </w:p>
        </w:tc>
        <w:tc>
          <w:tcPr>
            <w:tcW w:w="145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textAlignment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暂定1次，可根据风险程度适当增加</w:t>
            </w:r>
          </w:p>
        </w:tc>
        <w:tc>
          <w:tcPr>
            <w:tcW w:w="86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 </w:t>
            </w:r>
          </w:p>
        </w:tc>
      </w:tr>
      <w:tr>
        <w:tblPrEx>
          <w:tblCellMar>
            <w:top w:w="15" w:type="dxa"/>
            <w:left w:w="15" w:type="dxa"/>
            <w:bottom w:w="15" w:type="dxa"/>
            <w:right w:w="15" w:type="dxa"/>
          </w:tblCellMar>
        </w:tblPrEx>
        <w:trPr>
          <w:trHeight w:val="5253" w:hRule="atLeast"/>
          <w:jc w:val="center"/>
        </w:trPr>
        <w:tc>
          <w:tcPr>
            <w:tcW w:w="772" w:type="dxa"/>
            <w:tcBorders>
              <w:top w:val="nil"/>
              <w:left w:val="single" w:color="000000" w:sz="8" w:space="0"/>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3</w:t>
            </w:r>
          </w:p>
        </w:tc>
        <w:tc>
          <w:tcPr>
            <w:tcW w:w="180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母婴保健监督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抽查</w:t>
            </w:r>
          </w:p>
        </w:tc>
        <w:tc>
          <w:tcPr>
            <w:tcW w:w="323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《中华人民共和国母婴保健法》《母婴保健法实施办法》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 </w:t>
            </w:r>
          </w:p>
        </w:tc>
        <w:tc>
          <w:tcPr>
            <w:tcW w:w="276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1、机构执业资质合法性情况；2、母婴保健技术服务从业人员执业资格情况；3、母婴保健技术服务项目及业务范围依法开展情况；4、法律法规规章规定的其他事项。</w:t>
            </w:r>
          </w:p>
        </w:tc>
        <w:tc>
          <w:tcPr>
            <w:tcW w:w="859"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现场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检查</w:t>
            </w:r>
          </w:p>
        </w:tc>
        <w:tc>
          <w:tcPr>
            <w:tcW w:w="79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医疗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机构</w:t>
            </w:r>
          </w:p>
        </w:tc>
        <w:tc>
          <w:tcPr>
            <w:tcW w:w="121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根据年度工作计划和工作情况随时进行调整</w:t>
            </w:r>
          </w:p>
        </w:tc>
        <w:tc>
          <w:tcPr>
            <w:tcW w:w="145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暂定1次，可根据风险程度适当增加</w:t>
            </w:r>
          </w:p>
        </w:tc>
        <w:tc>
          <w:tcPr>
            <w:tcW w:w="86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 </w:t>
            </w:r>
          </w:p>
        </w:tc>
      </w:tr>
      <w:tr>
        <w:tblPrEx>
          <w:tblCellMar>
            <w:top w:w="15" w:type="dxa"/>
            <w:left w:w="15" w:type="dxa"/>
            <w:bottom w:w="15" w:type="dxa"/>
            <w:right w:w="15" w:type="dxa"/>
          </w:tblCellMar>
        </w:tblPrEx>
        <w:trPr>
          <w:trHeight w:val="2415" w:hRule="atLeast"/>
          <w:jc w:val="center"/>
        </w:trPr>
        <w:tc>
          <w:tcPr>
            <w:tcW w:w="772" w:type="dxa"/>
            <w:tcBorders>
              <w:top w:val="nil"/>
              <w:left w:val="single" w:color="000000" w:sz="8" w:space="0"/>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4</w:t>
            </w:r>
          </w:p>
        </w:tc>
        <w:tc>
          <w:tcPr>
            <w:tcW w:w="180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textAlignment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临床用血监督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textAlignment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抽查</w:t>
            </w:r>
          </w:p>
        </w:tc>
        <w:tc>
          <w:tcPr>
            <w:tcW w:w="323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left"/>
              <w:textAlignment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《医疗机构临床用血管理办法》</w:t>
            </w:r>
          </w:p>
        </w:tc>
        <w:tc>
          <w:tcPr>
            <w:tcW w:w="276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1、医疗机构临床用血管理制度建立情况；2、临床用血管理情况；3、法律法规规章规定的其他事项。</w:t>
            </w:r>
          </w:p>
        </w:tc>
        <w:tc>
          <w:tcPr>
            <w:tcW w:w="859"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textAlignment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现场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textAlignment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检查</w:t>
            </w:r>
          </w:p>
        </w:tc>
        <w:tc>
          <w:tcPr>
            <w:tcW w:w="79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textAlignment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医疗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textAlignment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机构</w:t>
            </w:r>
          </w:p>
        </w:tc>
        <w:tc>
          <w:tcPr>
            <w:tcW w:w="121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textAlignment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根据年度工作计划和工作情况随时进行调整</w:t>
            </w:r>
          </w:p>
        </w:tc>
        <w:tc>
          <w:tcPr>
            <w:tcW w:w="145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textAlignment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暂定1次，可根据风险程度适当增加</w:t>
            </w:r>
          </w:p>
        </w:tc>
        <w:tc>
          <w:tcPr>
            <w:tcW w:w="86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 </w:t>
            </w:r>
          </w:p>
        </w:tc>
      </w:tr>
      <w:tr>
        <w:tblPrEx>
          <w:shd w:val="clear" w:color="auto" w:fill="auto"/>
          <w:tblCellMar>
            <w:top w:w="15" w:type="dxa"/>
            <w:left w:w="15" w:type="dxa"/>
            <w:bottom w:w="15" w:type="dxa"/>
            <w:right w:w="15" w:type="dxa"/>
          </w:tblCellMar>
        </w:tblPrEx>
        <w:trPr>
          <w:trHeight w:val="900" w:hRule="atLeast"/>
          <w:jc w:val="center"/>
        </w:trPr>
        <w:tc>
          <w:tcPr>
            <w:tcW w:w="772" w:type="dxa"/>
            <w:tcBorders>
              <w:top w:val="nil"/>
              <w:left w:val="single" w:color="000000" w:sz="8" w:space="0"/>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5</w:t>
            </w:r>
          </w:p>
        </w:tc>
        <w:tc>
          <w:tcPr>
            <w:tcW w:w="180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消毒隔离制度执行情况的抽查</w:t>
            </w:r>
          </w:p>
        </w:tc>
        <w:tc>
          <w:tcPr>
            <w:tcW w:w="323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《消毒管理办法》《医院消毒卫生标准》</w:t>
            </w:r>
          </w:p>
        </w:tc>
        <w:tc>
          <w:tcPr>
            <w:tcW w:w="276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1、消毒隔离组织机构和规章制度的建立；2、国家有关法律法规、技术规范、标准和规定的执行情况；3、法律法规规章规定的其他事项。</w:t>
            </w:r>
          </w:p>
        </w:tc>
        <w:tc>
          <w:tcPr>
            <w:tcW w:w="859"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随机</w:t>
            </w:r>
          </w:p>
        </w:tc>
        <w:tc>
          <w:tcPr>
            <w:tcW w:w="79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医疗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卫生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机构</w:t>
            </w:r>
          </w:p>
        </w:tc>
        <w:tc>
          <w:tcPr>
            <w:tcW w:w="121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根据年度工作计划和工作情况随时进行调整</w:t>
            </w:r>
          </w:p>
        </w:tc>
        <w:tc>
          <w:tcPr>
            <w:tcW w:w="145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暂定1次，可根据风险程度适当增加</w:t>
            </w:r>
          </w:p>
        </w:tc>
        <w:tc>
          <w:tcPr>
            <w:tcW w:w="86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 </w:t>
            </w:r>
          </w:p>
        </w:tc>
      </w:tr>
      <w:tr>
        <w:tblPrEx>
          <w:shd w:val="clear" w:color="auto" w:fill="auto"/>
          <w:tblCellMar>
            <w:top w:w="15" w:type="dxa"/>
            <w:left w:w="15" w:type="dxa"/>
            <w:bottom w:w="15" w:type="dxa"/>
            <w:right w:w="15" w:type="dxa"/>
          </w:tblCellMar>
        </w:tblPrEx>
        <w:trPr>
          <w:trHeight w:val="5403" w:hRule="atLeast"/>
          <w:jc w:val="center"/>
        </w:trPr>
        <w:tc>
          <w:tcPr>
            <w:tcW w:w="772" w:type="dxa"/>
            <w:tcBorders>
              <w:top w:val="nil"/>
              <w:left w:val="single" w:color="000000" w:sz="8" w:space="0"/>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6</w:t>
            </w:r>
          </w:p>
        </w:tc>
        <w:tc>
          <w:tcPr>
            <w:tcW w:w="180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医疗废物管理的抽查</w:t>
            </w:r>
          </w:p>
        </w:tc>
        <w:tc>
          <w:tcPr>
            <w:tcW w:w="323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《传染病防治法》《医疗废物管理条例》《医疗卫生机构医疗废物管理办法》</w:t>
            </w:r>
          </w:p>
        </w:tc>
        <w:tc>
          <w:tcPr>
            <w:tcW w:w="276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1、医疗废物管理组织机构和规章制度的建立；2、医疗废物分类收集、运送、暂存；3、医疗废物管理的人员培训和防护；4、法律法规规章规定的其他事项。</w:t>
            </w:r>
          </w:p>
        </w:tc>
        <w:tc>
          <w:tcPr>
            <w:tcW w:w="859"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随机</w:t>
            </w:r>
          </w:p>
        </w:tc>
        <w:tc>
          <w:tcPr>
            <w:tcW w:w="79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医疗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卫生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机构</w:t>
            </w:r>
          </w:p>
        </w:tc>
        <w:tc>
          <w:tcPr>
            <w:tcW w:w="121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根据年度工作计划和工作情况随时进行调整</w:t>
            </w:r>
          </w:p>
        </w:tc>
        <w:tc>
          <w:tcPr>
            <w:tcW w:w="145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暂定1次，可根据风险程度适当增加</w:t>
            </w:r>
          </w:p>
        </w:tc>
        <w:tc>
          <w:tcPr>
            <w:tcW w:w="86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 </w:t>
            </w:r>
          </w:p>
        </w:tc>
      </w:tr>
      <w:tr>
        <w:tblPrEx>
          <w:tblCellMar>
            <w:top w:w="15" w:type="dxa"/>
            <w:left w:w="15" w:type="dxa"/>
            <w:bottom w:w="15" w:type="dxa"/>
            <w:right w:w="15" w:type="dxa"/>
          </w:tblCellMar>
        </w:tblPrEx>
        <w:trPr>
          <w:trHeight w:val="5376" w:hRule="atLeast"/>
          <w:jc w:val="center"/>
        </w:trPr>
        <w:tc>
          <w:tcPr>
            <w:tcW w:w="772" w:type="dxa"/>
            <w:tcBorders>
              <w:top w:val="nil"/>
              <w:left w:val="single" w:color="000000" w:sz="8" w:space="0"/>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7</w:t>
            </w:r>
          </w:p>
        </w:tc>
        <w:tc>
          <w:tcPr>
            <w:tcW w:w="180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病源微生物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实验室安全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管理的抽查</w:t>
            </w:r>
          </w:p>
        </w:tc>
        <w:tc>
          <w:tcPr>
            <w:tcW w:w="323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《传染病防治法》《病原微生物实验室生物安全管理条例》</w:t>
            </w:r>
          </w:p>
        </w:tc>
        <w:tc>
          <w:tcPr>
            <w:tcW w:w="276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1、病原微生物实验室安全管理组织机构和规章制度的建立；2、国家法律法规、规范和标准的执行情况；3、人员防护；4、标本、菌（毒）种样本的采集、运送、储存和处置；5、法律法规规章规定的其他事项。</w:t>
            </w:r>
          </w:p>
        </w:tc>
        <w:tc>
          <w:tcPr>
            <w:tcW w:w="859"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随机</w:t>
            </w:r>
          </w:p>
        </w:tc>
        <w:tc>
          <w:tcPr>
            <w:tcW w:w="79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医疗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卫生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机构</w:t>
            </w:r>
          </w:p>
        </w:tc>
        <w:tc>
          <w:tcPr>
            <w:tcW w:w="121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根据年度工作计划和工作情况随时进行调整</w:t>
            </w:r>
          </w:p>
        </w:tc>
        <w:tc>
          <w:tcPr>
            <w:tcW w:w="145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暂定1次，可根据风险程度适当增加</w:t>
            </w:r>
          </w:p>
        </w:tc>
        <w:tc>
          <w:tcPr>
            <w:tcW w:w="86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 </w:t>
            </w:r>
          </w:p>
        </w:tc>
      </w:tr>
      <w:tr>
        <w:tblPrEx>
          <w:shd w:val="clear" w:color="auto" w:fill="auto"/>
          <w:tblCellMar>
            <w:top w:w="15" w:type="dxa"/>
            <w:left w:w="15" w:type="dxa"/>
            <w:bottom w:w="15" w:type="dxa"/>
            <w:right w:w="15" w:type="dxa"/>
          </w:tblCellMar>
        </w:tblPrEx>
        <w:trPr>
          <w:trHeight w:val="5193" w:hRule="atLeast"/>
          <w:jc w:val="center"/>
        </w:trPr>
        <w:tc>
          <w:tcPr>
            <w:tcW w:w="772" w:type="dxa"/>
            <w:tcBorders>
              <w:top w:val="nil"/>
              <w:left w:val="single" w:color="000000" w:sz="8" w:space="0"/>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8</w:t>
            </w:r>
          </w:p>
        </w:tc>
        <w:tc>
          <w:tcPr>
            <w:tcW w:w="180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预防接种的抽查</w:t>
            </w:r>
          </w:p>
        </w:tc>
        <w:tc>
          <w:tcPr>
            <w:tcW w:w="323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《传染病防治法》</w:t>
            </w:r>
            <w:r>
              <w:rPr>
                <w:rFonts w:hint="eastAsia" w:ascii="宋体" w:hAnsi="宋体" w:eastAsia="宋体" w:cs="宋体"/>
                <w:i w:val="0"/>
                <w:iCs w:val="0"/>
                <w:caps w:val="0"/>
                <w:color w:val="333333"/>
                <w:spacing w:val="0"/>
                <w:sz w:val="24"/>
                <w:szCs w:val="24"/>
                <w:shd w:val="clear" w:fill="FFFFFF"/>
              </w:rPr>
              <w:t>《疫苗管理法》</w:t>
            </w:r>
            <w:r>
              <w:rPr>
                <w:rFonts w:hint="eastAsia" w:ascii="宋体" w:hAnsi="宋体" w:eastAsia="宋体" w:cs="宋体"/>
                <w:b w:val="0"/>
                <w:bCs w:val="0"/>
                <w:color w:val="333333"/>
                <w:kern w:val="0"/>
                <w:sz w:val="24"/>
                <w:szCs w:val="24"/>
                <w:lang w:val="en-US" w:eastAsia="zh-CN" w:bidi="ar"/>
              </w:rPr>
              <w:t>《疫苗流通和预防接种管理条例》</w:t>
            </w:r>
          </w:p>
        </w:tc>
        <w:tc>
          <w:tcPr>
            <w:tcW w:w="276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1、疫苗接收（进货）检查验收、储存、分发和登记情况；2、接种单位、人员资质情况；3、预防接种过程执行《预防接种工作规范》情况；4、法律法规规章规定的其他事项。</w:t>
            </w:r>
          </w:p>
        </w:tc>
        <w:tc>
          <w:tcPr>
            <w:tcW w:w="859"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随机</w:t>
            </w:r>
          </w:p>
        </w:tc>
        <w:tc>
          <w:tcPr>
            <w:tcW w:w="79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疾控机构和预防接种单位</w:t>
            </w:r>
          </w:p>
        </w:tc>
        <w:tc>
          <w:tcPr>
            <w:tcW w:w="121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根据年度工作计划和工作情况随时进行调整</w:t>
            </w:r>
          </w:p>
        </w:tc>
        <w:tc>
          <w:tcPr>
            <w:tcW w:w="145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暂定1次，可根据风险程度适当增加</w:t>
            </w:r>
          </w:p>
        </w:tc>
        <w:tc>
          <w:tcPr>
            <w:tcW w:w="86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由县级卫生行政部门监管，市级无直管单位</w:t>
            </w:r>
          </w:p>
        </w:tc>
      </w:tr>
      <w:tr>
        <w:tblPrEx>
          <w:shd w:val="clear" w:color="auto" w:fill="auto"/>
          <w:tblCellMar>
            <w:top w:w="15" w:type="dxa"/>
            <w:left w:w="15" w:type="dxa"/>
            <w:bottom w:w="15" w:type="dxa"/>
            <w:right w:w="15" w:type="dxa"/>
          </w:tblCellMar>
        </w:tblPrEx>
        <w:trPr>
          <w:trHeight w:val="1706" w:hRule="atLeast"/>
          <w:jc w:val="center"/>
        </w:trPr>
        <w:tc>
          <w:tcPr>
            <w:tcW w:w="772" w:type="dxa"/>
            <w:tcBorders>
              <w:top w:val="nil"/>
              <w:left w:val="single" w:color="000000" w:sz="8" w:space="0"/>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left="0" w:right="0"/>
              <w:jc w:val="center"/>
              <w:textAlignment w:val="center"/>
              <w:rPr>
                <w:rFonts w:hint="default"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9</w:t>
            </w:r>
          </w:p>
        </w:tc>
        <w:tc>
          <w:tcPr>
            <w:tcW w:w="180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left="0" w:leftChars="0" w:right="0" w:rightChars="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学校卫生监督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left="0" w:leftChars="0" w:right="0" w:rightChars="0"/>
              <w:jc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抽查</w:t>
            </w:r>
          </w:p>
        </w:tc>
        <w:tc>
          <w:tcPr>
            <w:tcW w:w="323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left="0" w:leftChars="0" w:right="0" w:rightChars="0"/>
              <w:jc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《学校卫生工作条例》</w:t>
            </w:r>
          </w:p>
        </w:tc>
        <w:tc>
          <w:tcPr>
            <w:tcW w:w="276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left="0" w:right="0"/>
              <w:jc w:val="left"/>
              <w:textAlignment w:val="auto"/>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1、学校教学及生活环境的卫生；2、传染病防控工作的卫生；3、生活饮用水的卫生4、学校内设医疗机构和保健室的卫生；5、学校内公共场所的卫生；6、配合相关部门对学校突发公共卫生事件应急处置工作落实情况的卫生；7、法律法规规章规定的其他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left="0" w:leftChars="0" w:right="0" w:rightChars="0"/>
              <w:jc w:val="left"/>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 </w:t>
            </w:r>
          </w:p>
        </w:tc>
        <w:tc>
          <w:tcPr>
            <w:tcW w:w="859"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现场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查看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查阅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记录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left="0" w:leftChars="0" w:right="0" w:rightChars="0"/>
              <w:jc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 </w:t>
            </w:r>
          </w:p>
        </w:tc>
        <w:tc>
          <w:tcPr>
            <w:tcW w:w="79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left="0" w:leftChars="0" w:right="0" w:rightChars="0"/>
              <w:jc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学校</w:t>
            </w:r>
          </w:p>
        </w:tc>
        <w:tc>
          <w:tcPr>
            <w:tcW w:w="121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left="0" w:leftChars="0" w:right="0" w:rightChars="0"/>
              <w:jc w:val="center"/>
              <w:textAlignment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根据年度工作计划和工作情况随时进行调整</w:t>
            </w:r>
          </w:p>
        </w:tc>
        <w:tc>
          <w:tcPr>
            <w:tcW w:w="145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left="0" w:leftChars="0" w:right="0" w:rightChars="0"/>
              <w:jc w:val="center"/>
              <w:textAlignment w:val="center"/>
              <w:rPr>
                <w:rFonts w:hint="eastAsia" w:ascii="宋体" w:hAnsi="宋体" w:eastAsia="宋体" w:cs="宋体"/>
                <w:color w:val="333333"/>
                <w:kern w:val="2"/>
                <w:sz w:val="24"/>
                <w:szCs w:val="24"/>
                <w:lang w:val="en-US" w:eastAsia="zh-CN" w:bidi="ar-SA"/>
              </w:rPr>
            </w:pPr>
            <w:r>
              <w:rPr>
                <w:rFonts w:hint="eastAsia" w:ascii="宋体" w:hAnsi="宋体" w:eastAsia="宋体" w:cs="宋体"/>
                <w:b w:val="0"/>
                <w:bCs w:val="0"/>
                <w:color w:val="333333"/>
                <w:kern w:val="0"/>
                <w:sz w:val="24"/>
                <w:szCs w:val="24"/>
                <w:lang w:val="en-US" w:eastAsia="zh-CN" w:bidi="ar"/>
              </w:rPr>
              <w:t>暂定1次，可根据风险程度适当增加</w:t>
            </w:r>
          </w:p>
        </w:tc>
        <w:tc>
          <w:tcPr>
            <w:tcW w:w="86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left="0" w:right="0"/>
              <w:jc w:val="center"/>
              <w:rPr>
                <w:rFonts w:hint="eastAsia" w:ascii="宋体" w:hAnsi="宋体" w:eastAsia="宋体" w:cs="宋体"/>
                <w:b w:val="0"/>
                <w:bCs w:val="0"/>
                <w:color w:val="333333"/>
                <w:kern w:val="0"/>
                <w:sz w:val="24"/>
                <w:szCs w:val="24"/>
                <w:lang w:val="en-US" w:eastAsia="zh-CN" w:bidi="ar"/>
              </w:rPr>
            </w:pPr>
          </w:p>
        </w:tc>
      </w:tr>
      <w:tr>
        <w:tblPrEx>
          <w:shd w:val="clear" w:color="auto" w:fill="auto"/>
          <w:tblCellMar>
            <w:top w:w="15" w:type="dxa"/>
            <w:left w:w="15" w:type="dxa"/>
            <w:bottom w:w="15" w:type="dxa"/>
            <w:right w:w="15" w:type="dxa"/>
          </w:tblCellMar>
        </w:tblPrEx>
        <w:trPr>
          <w:trHeight w:val="4983" w:hRule="atLeast"/>
          <w:jc w:val="center"/>
        </w:trPr>
        <w:tc>
          <w:tcPr>
            <w:tcW w:w="772" w:type="dxa"/>
            <w:tcBorders>
              <w:top w:val="nil"/>
              <w:left w:val="single" w:color="000000" w:sz="8" w:space="0"/>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default" w:ascii="宋体" w:hAnsi="宋体" w:eastAsia="宋体" w:cs="宋体"/>
                <w:color w:val="333333"/>
                <w:sz w:val="24"/>
                <w:szCs w:val="24"/>
                <w:lang w:val="en-US"/>
              </w:rPr>
            </w:pPr>
            <w:r>
              <w:rPr>
                <w:rFonts w:hint="eastAsia" w:ascii="宋体" w:hAnsi="宋体" w:eastAsia="宋体" w:cs="宋体"/>
                <w:b w:val="0"/>
                <w:bCs w:val="0"/>
                <w:color w:val="000000"/>
                <w:kern w:val="0"/>
                <w:sz w:val="24"/>
                <w:szCs w:val="24"/>
                <w:lang w:val="en-US" w:eastAsia="zh-CN" w:bidi="ar"/>
              </w:rPr>
              <w:t>10</w:t>
            </w:r>
          </w:p>
        </w:tc>
        <w:tc>
          <w:tcPr>
            <w:tcW w:w="180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托幼机构传染病防控的抽查</w:t>
            </w:r>
          </w:p>
        </w:tc>
        <w:tc>
          <w:tcPr>
            <w:tcW w:w="323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《托儿所幼儿园卫生保健管理办法》</w:t>
            </w:r>
          </w:p>
        </w:tc>
        <w:tc>
          <w:tcPr>
            <w:tcW w:w="276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1、传染病防控组织机构和规章制度的建立；2、入（院（托））预防接种证的查验、晨午检、儿童健康档案的建立等情况；3、法律法规规章规定的其他事项。</w:t>
            </w:r>
          </w:p>
        </w:tc>
        <w:tc>
          <w:tcPr>
            <w:tcW w:w="859"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随机</w:t>
            </w:r>
          </w:p>
        </w:tc>
        <w:tc>
          <w:tcPr>
            <w:tcW w:w="79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疾控机构和预防接种单位</w:t>
            </w:r>
          </w:p>
        </w:tc>
        <w:tc>
          <w:tcPr>
            <w:tcW w:w="121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根据年度工作计划和工作情况随时进行调整</w:t>
            </w:r>
          </w:p>
        </w:tc>
        <w:tc>
          <w:tcPr>
            <w:tcW w:w="145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暂定1次，可根据风险程度适当增加</w:t>
            </w:r>
          </w:p>
        </w:tc>
        <w:tc>
          <w:tcPr>
            <w:tcW w:w="86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由县级卫生行政部门监管，市级无直管单位</w:t>
            </w:r>
          </w:p>
        </w:tc>
      </w:tr>
      <w:tr>
        <w:tblPrEx>
          <w:shd w:val="clear" w:color="auto" w:fill="auto"/>
          <w:tblCellMar>
            <w:top w:w="15" w:type="dxa"/>
            <w:left w:w="15" w:type="dxa"/>
            <w:bottom w:w="15" w:type="dxa"/>
            <w:right w:w="15" w:type="dxa"/>
          </w:tblCellMar>
        </w:tblPrEx>
        <w:trPr>
          <w:trHeight w:val="4974" w:hRule="atLeast"/>
          <w:jc w:val="center"/>
        </w:trPr>
        <w:tc>
          <w:tcPr>
            <w:tcW w:w="772" w:type="dxa"/>
            <w:tcBorders>
              <w:top w:val="nil"/>
              <w:left w:val="single" w:color="000000" w:sz="8" w:space="0"/>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default" w:ascii="宋体" w:hAnsi="宋体" w:eastAsia="宋体" w:cs="宋体"/>
                <w:color w:val="333333"/>
                <w:sz w:val="24"/>
                <w:szCs w:val="24"/>
                <w:lang w:val="en-US"/>
              </w:rPr>
            </w:pPr>
            <w:r>
              <w:rPr>
                <w:rFonts w:hint="eastAsia" w:ascii="宋体" w:hAnsi="宋体" w:eastAsia="宋体" w:cs="宋体"/>
                <w:b w:val="0"/>
                <w:bCs w:val="0"/>
                <w:color w:val="000000"/>
                <w:kern w:val="0"/>
                <w:sz w:val="24"/>
                <w:szCs w:val="24"/>
                <w:lang w:val="en-US" w:eastAsia="zh-CN" w:bidi="ar"/>
              </w:rPr>
              <w:t>11</w:t>
            </w:r>
          </w:p>
        </w:tc>
        <w:tc>
          <w:tcPr>
            <w:tcW w:w="180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消毒产品的抽查</w:t>
            </w:r>
          </w:p>
        </w:tc>
        <w:tc>
          <w:tcPr>
            <w:tcW w:w="323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《传染病防治法》《消毒管理办法》</w:t>
            </w:r>
          </w:p>
        </w:tc>
        <w:tc>
          <w:tcPr>
            <w:tcW w:w="276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1、消毒产品进货检查验收、登记情况，2、法律法规规章规定的其他事项。</w:t>
            </w:r>
          </w:p>
        </w:tc>
        <w:tc>
          <w:tcPr>
            <w:tcW w:w="859"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随机</w:t>
            </w:r>
          </w:p>
        </w:tc>
        <w:tc>
          <w:tcPr>
            <w:tcW w:w="79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消毒产品生产、经营和使用单位。</w:t>
            </w:r>
          </w:p>
        </w:tc>
        <w:tc>
          <w:tcPr>
            <w:tcW w:w="121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根据年度工作计划和工作情况随时进行调整</w:t>
            </w:r>
          </w:p>
        </w:tc>
        <w:tc>
          <w:tcPr>
            <w:tcW w:w="145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暂定1次，可根据风险程度适当增加</w:t>
            </w:r>
          </w:p>
        </w:tc>
        <w:tc>
          <w:tcPr>
            <w:tcW w:w="86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 </w:t>
            </w:r>
          </w:p>
        </w:tc>
      </w:tr>
      <w:tr>
        <w:tblPrEx>
          <w:shd w:val="clear" w:color="auto" w:fill="auto"/>
          <w:tblCellMar>
            <w:top w:w="15" w:type="dxa"/>
            <w:left w:w="15" w:type="dxa"/>
            <w:bottom w:w="15" w:type="dxa"/>
            <w:right w:w="15" w:type="dxa"/>
          </w:tblCellMar>
        </w:tblPrEx>
        <w:trPr>
          <w:trHeight w:val="900" w:hRule="atLeast"/>
          <w:jc w:val="center"/>
        </w:trPr>
        <w:tc>
          <w:tcPr>
            <w:tcW w:w="772" w:type="dxa"/>
            <w:tcBorders>
              <w:top w:val="nil"/>
              <w:left w:val="single" w:color="000000" w:sz="8" w:space="0"/>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12</w:t>
            </w:r>
          </w:p>
        </w:tc>
        <w:tc>
          <w:tcPr>
            <w:tcW w:w="180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饮用水卫生监督抽查</w:t>
            </w:r>
          </w:p>
        </w:tc>
        <w:tc>
          <w:tcPr>
            <w:tcW w:w="323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br w:type="textWrapping"/>
            </w:r>
            <w:r>
              <w:rPr>
                <w:rFonts w:hint="eastAsia" w:ascii="宋体" w:hAnsi="宋体" w:eastAsia="宋体" w:cs="宋体"/>
                <w:b w:val="0"/>
                <w:bCs w:val="0"/>
                <w:color w:val="333333"/>
                <w:kern w:val="0"/>
                <w:sz w:val="24"/>
                <w:szCs w:val="24"/>
                <w:lang w:val="en-US" w:eastAsia="zh-CN" w:bidi="ar"/>
              </w:rPr>
              <w:t>《中华人民共和国传染病防治法》 《生活饮用水卫生监督管理办法》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 </w:t>
            </w:r>
          </w:p>
        </w:tc>
        <w:tc>
          <w:tcPr>
            <w:tcW w:w="276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1、供水卫生许可证；2、从业人员健康管理；3、卫生管理档案管理：卫生管理部门、人员设置情况及卫生管理制度；4、水厂水质检测情况；5、饮用水消毒配备及运转情况；6、安排从业人员健康检查情况和培训考核情况；7、涉水产品进货索证管理情况；8、饮用水污染事故应急预案或者方案 9、水厂卫生管理情况；10、蓄水池清洗消毒情况；11、法律法规规章规定的其他事项。</w:t>
            </w:r>
          </w:p>
        </w:tc>
        <w:tc>
          <w:tcPr>
            <w:tcW w:w="859"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现场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查看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查阅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记录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询问从业人员</w:t>
            </w:r>
          </w:p>
        </w:tc>
        <w:tc>
          <w:tcPr>
            <w:tcW w:w="79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饮用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水供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水单位</w:t>
            </w:r>
          </w:p>
        </w:tc>
        <w:tc>
          <w:tcPr>
            <w:tcW w:w="121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根据年度工作计划和工作情况随时进行调整</w:t>
            </w:r>
          </w:p>
        </w:tc>
        <w:tc>
          <w:tcPr>
            <w:tcW w:w="145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暂定1次，可根据风险程度适当增加</w:t>
            </w:r>
          </w:p>
        </w:tc>
        <w:tc>
          <w:tcPr>
            <w:tcW w:w="86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left"/>
              <w:textAlignment w:val="center"/>
              <w:rPr>
                <w:rFonts w:hint="eastAsia" w:ascii="宋体" w:hAnsi="宋体" w:eastAsia="宋体" w:cs="宋体"/>
                <w:color w:val="333333"/>
                <w:sz w:val="24"/>
                <w:szCs w:val="24"/>
              </w:rPr>
            </w:pPr>
          </w:p>
        </w:tc>
      </w:tr>
      <w:tr>
        <w:tblPrEx>
          <w:shd w:val="clear" w:color="auto" w:fill="auto"/>
          <w:tblCellMar>
            <w:top w:w="15" w:type="dxa"/>
            <w:left w:w="15" w:type="dxa"/>
            <w:bottom w:w="15" w:type="dxa"/>
            <w:right w:w="15" w:type="dxa"/>
          </w:tblCellMar>
        </w:tblPrEx>
        <w:trPr>
          <w:trHeight w:val="5466" w:hRule="atLeast"/>
          <w:jc w:val="center"/>
        </w:trPr>
        <w:tc>
          <w:tcPr>
            <w:tcW w:w="772" w:type="dxa"/>
            <w:tcBorders>
              <w:top w:val="nil"/>
              <w:left w:val="single" w:color="000000" w:sz="8" w:space="0"/>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00000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00000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00000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00000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13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00000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00000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00000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00000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00000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00000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00000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00000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00000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00000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default"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13</w:t>
            </w:r>
          </w:p>
        </w:tc>
        <w:tc>
          <w:tcPr>
            <w:tcW w:w="180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公共场所卫生监督抽查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1-1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rPr>
                <w:rFonts w:hint="default"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rPr>
                <w:rFonts w:hint="default"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rPr>
                <w:rFonts w:hint="default"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公共场所卫生监督抽查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1-2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center"/>
              <w:rPr>
                <w:rFonts w:hint="default" w:ascii="宋体" w:hAnsi="宋体" w:eastAsia="宋体" w:cs="宋体"/>
                <w:b w:val="0"/>
                <w:bCs w:val="0"/>
                <w:color w:val="333333"/>
                <w:kern w:val="0"/>
                <w:sz w:val="24"/>
                <w:szCs w:val="24"/>
                <w:lang w:val="en-US" w:eastAsia="zh-CN" w:bidi="ar"/>
              </w:rPr>
            </w:pPr>
          </w:p>
        </w:tc>
        <w:tc>
          <w:tcPr>
            <w:tcW w:w="323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both"/>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both"/>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both"/>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both"/>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both"/>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《公共场所卫生管理条例》《公共场所卫生管理条例实施细则》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both"/>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both"/>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both"/>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both"/>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both"/>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both"/>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both"/>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both"/>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《公共场所卫生管理条例》《公共场所卫生管理条例实施细则》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leftChars="0" w:right="0" w:rightChars="0"/>
              <w:jc w:val="both"/>
              <w:rPr>
                <w:rFonts w:hint="eastAsia" w:ascii="宋体" w:hAnsi="宋体" w:eastAsia="宋体" w:cs="宋体"/>
                <w:b w:val="0"/>
                <w:bCs w:val="0"/>
                <w:color w:val="333333"/>
                <w:kern w:val="0"/>
                <w:sz w:val="24"/>
                <w:szCs w:val="24"/>
                <w:lang w:val="en-US" w:eastAsia="zh-CN" w:bidi="ar"/>
              </w:rPr>
            </w:pPr>
          </w:p>
        </w:tc>
        <w:tc>
          <w:tcPr>
            <w:tcW w:w="276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1、卫生许可证；2、从业人员健康管理；3、卫生管理档案管理：卫生管理部门、人员设置情况及卫生管理制度；4、室内空气、微小气候、采光、照明等的检测情况；5、顾客用品用具的清洗消毒更换及检测情况；6、卫生设施的配备使用、维护、检查情况；7、集中空调通风系统的清洗消毒情况；8、安排从业人员健康检查情况和培训考核情况；9、公共卫生用品进货索证管理情况；10、公共场所危害健康事故应急预案或者方案 11、室内公共场所禁止吸烟情况；12、法律法规规章规定的其他事项。</w:t>
            </w:r>
          </w:p>
        </w:tc>
        <w:tc>
          <w:tcPr>
            <w:tcW w:w="859"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现场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查看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查阅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记录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询问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从业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现场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查看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查阅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记录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询问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从业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人员</w:t>
            </w:r>
          </w:p>
        </w:tc>
        <w:tc>
          <w:tcPr>
            <w:tcW w:w="79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公共场所从业单位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公共场所从业单位</w:t>
            </w:r>
          </w:p>
        </w:tc>
        <w:tc>
          <w:tcPr>
            <w:tcW w:w="121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根据年度工作计划和工作情况随时进行调整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根据年度工作计划和工作情况随时进行调整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tc>
        <w:tc>
          <w:tcPr>
            <w:tcW w:w="145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暂定1次，可根据风险程度适当增加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暂定1次，可根据风险程度适当增加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b w:val="0"/>
                <w:bCs w:val="0"/>
                <w:color w:val="333333"/>
                <w:kern w:val="0"/>
                <w:sz w:val="24"/>
                <w:szCs w:val="24"/>
                <w:lang w:val="en-US" w:eastAsia="zh-CN" w:bidi="ar"/>
              </w:rPr>
            </w:pPr>
          </w:p>
        </w:tc>
        <w:tc>
          <w:tcPr>
            <w:tcW w:w="86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 </w:t>
            </w:r>
          </w:p>
        </w:tc>
      </w:tr>
      <w:tr>
        <w:tblPrEx>
          <w:shd w:val="clear" w:color="auto" w:fill="auto"/>
          <w:tblCellMar>
            <w:top w:w="15" w:type="dxa"/>
            <w:left w:w="15" w:type="dxa"/>
            <w:bottom w:w="15" w:type="dxa"/>
            <w:right w:w="15" w:type="dxa"/>
          </w:tblCellMar>
        </w:tblPrEx>
        <w:trPr>
          <w:trHeight w:val="900" w:hRule="atLeast"/>
          <w:jc w:val="center"/>
        </w:trPr>
        <w:tc>
          <w:tcPr>
            <w:tcW w:w="772" w:type="dxa"/>
            <w:tcBorders>
              <w:top w:val="nil"/>
              <w:left w:val="single" w:color="000000" w:sz="8" w:space="0"/>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default" w:ascii="宋体" w:hAnsi="宋体" w:eastAsia="宋体" w:cs="宋体"/>
                <w:color w:val="333333"/>
                <w:sz w:val="24"/>
                <w:szCs w:val="24"/>
                <w:lang w:val="en-US"/>
              </w:rPr>
            </w:pPr>
            <w:bookmarkStart w:id="0" w:name="_GoBack" w:colFirst="6" w:colLast="7"/>
            <w:r>
              <w:rPr>
                <w:rFonts w:hint="eastAsia" w:ascii="宋体" w:hAnsi="宋体" w:eastAsia="宋体" w:cs="宋体"/>
                <w:b w:val="0"/>
                <w:bCs w:val="0"/>
                <w:color w:val="000000"/>
                <w:kern w:val="0"/>
                <w:sz w:val="24"/>
                <w:szCs w:val="24"/>
                <w:lang w:val="en-US" w:eastAsia="zh-CN" w:bidi="ar"/>
              </w:rPr>
              <w:t>14</w:t>
            </w:r>
          </w:p>
        </w:tc>
        <w:tc>
          <w:tcPr>
            <w:tcW w:w="180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职业病危害申报制度的抽查</w:t>
            </w:r>
          </w:p>
        </w:tc>
        <w:tc>
          <w:tcPr>
            <w:tcW w:w="323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《中华人民共和国职业病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防治法》</w:t>
            </w:r>
          </w:p>
        </w:tc>
        <w:tc>
          <w:tcPr>
            <w:tcW w:w="276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1、职业病危害项目申报制度；2、用人单位的基本情况；3、工作场所职业病因素种类、分布情况及接触人数；4、法律法规和规章规定的其他文件、资料的检查。</w:t>
            </w:r>
          </w:p>
        </w:tc>
        <w:tc>
          <w:tcPr>
            <w:tcW w:w="859"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现场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检查</w:t>
            </w:r>
          </w:p>
        </w:tc>
        <w:tc>
          <w:tcPr>
            <w:tcW w:w="79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本辖区内产生职业危害的企业、事业单位和个体经济组织等用人单位。</w:t>
            </w:r>
          </w:p>
        </w:tc>
        <w:tc>
          <w:tcPr>
            <w:tcW w:w="121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根据年度工作计划和工作情况随时进行调整</w:t>
            </w:r>
          </w:p>
        </w:tc>
        <w:tc>
          <w:tcPr>
            <w:tcW w:w="145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暂定1次，可根据风险程度适当增加</w:t>
            </w:r>
          </w:p>
        </w:tc>
        <w:tc>
          <w:tcPr>
            <w:tcW w:w="86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 </w:t>
            </w:r>
          </w:p>
        </w:tc>
      </w:tr>
      <w:bookmarkEnd w:id="0"/>
      <w:tr>
        <w:tblPrEx>
          <w:tblCellMar>
            <w:top w:w="15" w:type="dxa"/>
            <w:left w:w="15" w:type="dxa"/>
            <w:bottom w:w="15" w:type="dxa"/>
            <w:right w:w="15" w:type="dxa"/>
          </w:tblCellMar>
        </w:tblPrEx>
        <w:trPr>
          <w:trHeight w:val="900" w:hRule="atLeast"/>
          <w:jc w:val="center"/>
        </w:trPr>
        <w:tc>
          <w:tcPr>
            <w:tcW w:w="772" w:type="dxa"/>
            <w:tcBorders>
              <w:top w:val="nil"/>
              <w:left w:val="single" w:color="000000" w:sz="8" w:space="0"/>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default" w:ascii="宋体" w:hAnsi="宋体" w:eastAsia="宋体" w:cs="宋体"/>
                <w:color w:val="333333"/>
                <w:sz w:val="24"/>
                <w:szCs w:val="24"/>
                <w:lang w:val="en-US"/>
              </w:rPr>
            </w:pPr>
            <w:r>
              <w:rPr>
                <w:rFonts w:hint="eastAsia" w:ascii="宋体" w:hAnsi="宋体" w:eastAsia="宋体" w:cs="宋体"/>
                <w:b w:val="0"/>
                <w:bCs w:val="0"/>
                <w:color w:val="000000"/>
                <w:kern w:val="0"/>
                <w:sz w:val="24"/>
                <w:szCs w:val="24"/>
                <w:lang w:val="en-US" w:eastAsia="zh-CN" w:bidi="ar"/>
              </w:rPr>
              <w:t>15</w:t>
            </w:r>
          </w:p>
        </w:tc>
        <w:tc>
          <w:tcPr>
            <w:tcW w:w="180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新、改、扩建建设项目的职业病危害预评价、控制效果评价的抽查</w:t>
            </w:r>
          </w:p>
        </w:tc>
        <w:tc>
          <w:tcPr>
            <w:tcW w:w="323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《中华人民共和国职业病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防治法》</w:t>
            </w:r>
          </w:p>
        </w:tc>
        <w:tc>
          <w:tcPr>
            <w:tcW w:w="276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default" w:ascii="宋体" w:hAnsi="宋体" w:eastAsia="宋体" w:cs="宋体"/>
                <w:color w:val="333333"/>
                <w:sz w:val="24"/>
                <w:szCs w:val="24"/>
                <w:lang w:val="en-US"/>
              </w:rPr>
            </w:pPr>
            <w:r>
              <w:rPr>
                <w:rFonts w:hint="eastAsia" w:ascii="宋体" w:hAnsi="宋体" w:eastAsia="宋体" w:cs="宋体"/>
                <w:b w:val="0"/>
                <w:bCs w:val="0"/>
                <w:color w:val="333333"/>
                <w:kern w:val="0"/>
                <w:sz w:val="24"/>
                <w:szCs w:val="24"/>
                <w:lang w:val="en-US" w:eastAsia="zh-CN" w:bidi="ar"/>
              </w:rPr>
              <w:t>1、职业病危害因素及其对工作场所和劳动者健康影响作出评价，确定危害类别，职业防护措施情况；2、“三同时”情况；3、竣工验收前职业病危害控制效果评价情况；4、法律法规规章规定的其他事项。</w:t>
            </w:r>
          </w:p>
        </w:tc>
        <w:tc>
          <w:tcPr>
            <w:tcW w:w="859"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现场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检查</w:t>
            </w:r>
          </w:p>
        </w:tc>
        <w:tc>
          <w:tcPr>
            <w:tcW w:w="79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本辖区内产生职业危害的企业、事业单位和个体经济组织等用人单位。</w:t>
            </w:r>
          </w:p>
        </w:tc>
        <w:tc>
          <w:tcPr>
            <w:tcW w:w="121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根据年度工作计划和工作情况随时进行调整</w:t>
            </w:r>
          </w:p>
        </w:tc>
        <w:tc>
          <w:tcPr>
            <w:tcW w:w="145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暂定1次，可根据风险程度适当增加</w:t>
            </w:r>
          </w:p>
        </w:tc>
        <w:tc>
          <w:tcPr>
            <w:tcW w:w="86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 </w:t>
            </w:r>
          </w:p>
        </w:tc>
      </w:tr>
      <w:tr>
        <w:tblPrEx>
          <w:shd w:val="clear" w:color="auto" w:fill="auto"/>
          <w:tblCellMar>
            <w:top w:w="15" w:type="dxa"/>
            <w:left w:w="15" w:type="dxa"/>
            <w:bottom w:w="15" w:type="dxa"/>
            <w:right w:w="15" w:type="dxa"/>
          </w:tblCellMar>
        </w:tblPrEx>
        <w:trPr>
          <w:trHeight w:val="900" w:hRule="atLeast"/>
          <w:jc w:val="center"/>
        </w:trPr>
        <w:tc>
          <w:tcPr>
            <w:tcW w:w="772" w:type="dxa"/>
            <w:tcBorders>
              <w:top w:val="nil"/>
              <w:left w:val="single" w:color="000000" w:sz="8" w:space="0"/>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center"/>
              <w:textAlignment w:val="center"/>
              <w:rPr>
                <w:rFonts w:hint="default" w:ascii="宋体" w:hAnsi="宋体" w:eastAsia="宋体" w:cs="宋体"/>
                <w:color w:val="333333"/>
                <w:sz w:val="24"/>
                <w:szCs w:val="24"/>
                <w:lang w:val="en-US"/>
              </w:rPr>
            </w:pPr>
            <w:r>
              <w:rPr>
                <w:rFonts w:hint="eastAsia" w:ascii="宋体" w:hAnsi="宋体" w:eastAsia="宋体" w:cs="宋体"/>
                <w:b w:val="0"/>
                <w:bCs w:val="0"/>
                <w:color w:val="000000"/>
                <w:kern w:val="0"/>
                <w:sz w:val="24"/>
                <w:szCs w:val="24"/>
                <w:lang w:val="en-US" w:eastAsia="zh-CN" w:bidi="ar"/>
              </w:rPr>
              <w:t>16</w:t>
            </w:r>
          </w:p>
        </w:tc>
        <w:tc>
          <w:tcPr>
            <w:tcW w:w="180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接触职业危害劳动者健康情况的抽查</w:t>
            </w:r>
          </w:p>
        </w:tc>
        <w:tc>
          <w:tcPr>
            <w:tcW w:w="323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《中华人民共和国职业病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防治法》</w:t>
            </w:r>
          </w:p>
        </w:tc>
        <w:tc>
          <w:tcPr>
            <w:tcW w:w="276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left"/>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对从事接触职业病危害的作业的劳动者组织上岗前、在岗期间和离岗时的职业健康检查，并将检查结果书面告知劳动者的抽查。</w:t>
            </w:r>
          </w:p>
        </w:tc>
        <w:tc>
          <w:tcPr>
            <w:tcW w:w="859"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随机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抽查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健康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档案</w:t>
            </w:r>
          </w:p>
        </w:tc>
        <w:tc>
          <w:tcPr>
            <w:tcW w:w="79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本辖区内接触职业危害的劳动者</w:t>
            </w:r>
          </w:p>
        </w:tc>
        <w:tc>
          <w:tcPr>
            <w:tcW w:w="121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根据年度工作计划和工作情况随时进行调整</w:t>
            </w:r>
          </w:p>
        </w:tc>
        <w:tc>
          <w:tcPr>
            <w:tcW w:w="145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暂定1次，可根据风险程度适当增加</w:t>
            </w:r>
          </w:p>
        </w:tc>
        <w:tc>
          <w:tcPr>
            <w:tcW w:w="86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left"/>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 </w:t>
            </w:r>
          </w:p>
        </w:tc>
      </w:tr>
      <w:tr>
        <w:tblPrEx>
          <w:shd w:val="clear" w:color="auto" w:fill="auto"/>
          <w:tblCellMar>
            <w:top w:w="15" w:type="dxa"/>
            <w:left w:w="15" w:type="dxa"/>
            <w:bottom w:w="15" w:type="dxa"/>
            <w:right w:w="15" w:type="dxa"/>
          </w:tblCellMar>
        </w:tblPrEx>
        <w:trPr>
          <w:trHeight w:val="1346" w:hRule="atLeast"/>
          <w:jc w:val="center"/>
        </w:trPr>
        <w:tc>
          <w:tcPr>
            <w:tcW w:w="772" w:type="dxa"/>
            <w:tcBorders>
              <w:top w:val="nil"/>
              <w:left w:val="single" w:color="000000" w:sz="8" w:space="0"/>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center"/>
              <w:textAlignment w:val="center"/>
              <w:rPr>
                <w:rFonts w:hint="default" w:ascii="宋体" w:hAnsi="宋体" w:eastAsia="宋体" w:cs="宋体"/>
                <w:color w:val="333333"/>
                <w:sz w:val="24"/>
                <w:szCs w:val="24"/>
                <w:lang w:val="en-US" w:eastAsia="zh-CN"/>
              </w:rPr>
            </w:pPr>
            <w:r>
              <w:rPr>
                <w:rFonts w:hint="eastAsia" w:ascii="宋体" w:hAnsi="宋体" w:eastAsia="宋体" w:cs="宋体"/>
                <w:color w:val="333333"/>
                <w:sz w:val="24"/>
                <w:szCs w:val="24"/>
                <w:lang w:val="en-US" w:eastAsia="zh-CN"/>
              </w:rPr>
              <w:t>17</w:t>
            </w:r>
          </w:p>
        </w:tc>
        <w:tc>
          <w:tcPr>
            <w:tcW w:w="180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《放射工作人员证》持证和个人剂量计配戴情况的抽查</w:t>
            </w:r>
          </w:p>
        </w:tc>
        <w:tc>
          <w:tcPr>
            <w:tcW w:w="323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《放射工作人员职业健康管理办法》《放射诊疗管理规定》</w:t>
            </w:r>
          </w:p>
        </w:tc>
        <w:tc>
          <w:tcPr>
            <w:tcW w:w="276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left"/>
              <w:rPr>
                <w:rFonts w:hint="default" w:ascii="宋体" w:hAnsi="宋体" w:eastAsia="宋体" w:cs="宋体"/>
                <w:color w:val="333333"/>
                <w:sz w:val="24"/>
                <w:szCs w:val="24"/>
                <w:lang w:val="en-US"/>
              </w:rPr>
            </w:pPr>
            <w:r>
              <w:rPr>
                <w:rFonts w:hint="eastAsia" w:ascii="宋体" w:hAnsi="宋体" w:eastAsia="宋体" w:cs="宋体"/>
                <w:b w:val="0"/>
                <w:bCs w:val="0"/>
                <w:color w:val="333333"/>
                <w:kern w:val="0"/>
                <w:sz w:val="24"/>
                <w:szCs w:val="24"/>
                <w:lang w:val="en-US" w:eastAsia="zh-CN" w:bidi="ar"/>
              </w:rPr>
              <w:t>1、对新上岗、在岗的放射工作人员是否持有《放射工作人员证》的检查；2、对放射诊疗工作人员是否配戴个人剂量计，个人剂量计检测报告是否正常的检查。</w:t>
            </w:r>
          </w:p>
        </w:tc>
        <w:tc>
          <w:tcPr>
            <w:tcW w:w="859"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center"/>
              <w:rPr>
                <w:rFonts w:hint="eastAsia" w:ascii="宋体" w:hAnsi="宋体" w:eastAsia="宋体" w:cs="宋体"/>
                <w:b w:val="0"/>
                <w:bCs w:val="0"/>
                <w:color w:val="333333"/>
                <w:kern w:val="0"/>
                <w:sz w:val="24"/>
                <w:szCs w:val="24"/>
                <w:lang w:val="en-US" w:eastAsia="zh-CN" w:bidi="ar"/>
              </w:rPr>
            </w:pPr>
            <w:r>
              <w:rPr>
                <w:rFonts w:hint="eastAsia" w:ascii="宋体" w:hAnsi="宋体" w:eastAsia="宋体" w:cs="宋体"/>
                <w:b w:val="0"/>
                <w:bCs w:val="0"/>
                <w:color w:val="333333"/>
                <w:kern w:val="0"/>
                <w:sz w:val="24"/>
                <w:szCs w:val="24"/>
                <w:lang w:val="en-US" w:eastAsia="zh-CN" w:bidi="ar"/>
              </w:rPr>
              <w:t>现场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检查</w:t>
            </w:r>
          </w:p>
        </w:tc>
        <w:tc>
          <w:tcPr>
            <w:tcW w:w="791"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本辖区内放射工作人员</w:t>
            </w:r>
          </w:p>
        </w:tc>
        <w:tc>
          <w:tcPr>
            <w:tcW w:w="1218"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根据年度工作计划和工作情况随时进行调整</w:t>
            </w:r>
          </w:p>
        </w:tc>
        <w:tc>
          <w:tcPr>
            <w:tcW w:w="145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center"/>
              <w:textAlignment w:val="center"/>
              <w:rPr>
                <w:rFonts w:hint="eastAsia" w:ascii="宋体" w:hAnsi="宋体" w:eastAsia="宋体" w:cs="宋体"/>
                <w:color w:val="333333"/>
                <w:sz w:val="24"/>
                <w:szCs w:val="24"/>
              </w:rPr>
            </w:pPr>
            <w:r>
              <w:rPr>
                <w:rFonts w:hint="eastAsia" w:ascii="宋体" w:hAnsi="宋体" w:eastAsia="宋体" w:cs="宋体"/>
                <w:b w:val="0"/>
                <w:bCs w:val="0"/>
                <w:color w:val="333333"/>
                <w:kern w:val="0"/>
                <w:sz w:val="24"/>
                <w:szCs w:val="24"/>
                <w:lang w:val="en-US" w:eastAsia="zh-CN" w:bidi="ar"/>
              </w:rPr>
              <w:t>暂定1次，可根据风险程度适当增加</w:t>
            </w:r>
          </w:p>
        </w:tc>
        <w:tc>
          <w:tcPr>
            <w:tcW w:w="860" w:type="dxa"/>
            <w:tcBorders>
              <w:top w:val="nil"/>
              <w:left w:val="nil"/>
              <w:bottom w:val="single" w:color="000000" w:sz="8" w:space="0"/>
              <w:right w:val="single" w:color="000000" w:sz="8" w:space="0"/>
            </w:tcBorders>
            <w:shd w:val="clear" w:color="auto" w:fill="auto"/>
            <w:tcMar>
              <w:top w:w="0" w:type="dxa"/>
              <w:bottom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left"/>
              <w:textAlignment w:val="center"/>
              <w:rPr>
                <w:rFonts w:hint="eastAsia" w:ascii="宋体" w:hAnsi="宋体" w:eastAsia="宋体" w:cs="宋体"/>
                <w:color w:val="333333"/>
                <w:sz w:val="24"/>
                <w:szCs w:val="24"/>
              </w:rPr>
            </w:pPr>
            <w:r>
              <w:rPr>
                <w:rFonts w:hint="eastAsia" w:ascii="宋体" w:hAnsi="宋体" w:eastAsia="宋体" w:cs="宋体"/>
                <w:b w:val="0"/>
                <w:bCs w:val="0"/>
                <w:color w:val="000000"/>
                <w:kern w:val="0"/>
                <w:sz w:val="24"/>
                <w:szCs w:val="24"/>
                <w:lang w:val="en-US" w:eastAsia="zh-CN" w:bidi="ar"/>
              </w:rPr>
              <w:t> </w:t>
            </w:r>
          </w:p>
        </w:tc>
      </w:tr>
    </w:tbl>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w:t>
                          </w:r>
                          <w:r>
                            <w:rPr>
                              <w:rFonts w:hint="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w:t>
                    </w:r>
                    <w:r>
                      <w:rPr>
                        <w:rFonts w:hint="eastAsia"/>
                        <w:sz w:val="24"/>
                        <w:szCs w:val="24"/>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BD10E24"/>
    <w:multiLevelType w:val="singleLevel"/>
    <w:tmpl w:val="FBD10E2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9624E3"/>
    <w:rsid w:val="2A5B5678"/>
    <w:rsid w:val="36A3233E"/>
    <w:rsid w:val="75962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2021-06-06T06:10:00Z</dcterms:created>
  <dc:creator>我很有名</dc:creator>
  <cp:lastModifiedBy>123</cp:lastModifiedBy>
  <cp:lastPrinted>2021-06-11T07:27:47Z</cp:lastPrinted>
  <dcterms:modified xsi:type="dcterms:W3CDTF">2021-06-11T07:27:52Z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969DE6BE73DA4B11A647EA6883538951</vt:lpwstr>
  </property>
</Properties>
</file>