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4029" w:type="dxa"/>
        <w:tblInd w:w="-33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865"/>
        <w:gridCol w:w="1248"/>
        <w:gridCol w:w="2189"/>
        <w:gridCol w:w="3823"/>
        <w:gridCol w:w="924"/>
        <w:gridCol w:w="345"/>
        <w:gridCol w:w="1455"/>
        <w:gridCol w:w="824"/>
        <w:gridCol w:w="556"/>
        <w:gridCol w:w="1068"/>
        <w:gridCol w:w="73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05" w:hRule="atLeast"/>
        </w:trPr>
        <w:tc>
          <w:tcPr>
            <w:tcW w:w="865" w:type="dxa"/>
            <w:vAlign w:val="center"/>
          </w:tcPr>
          <w:p>
            <w:pPr>
              <w:kinsoku/>
              <w:autoSpaceDE/>
              <w:autoSpaceDN w:val="0"/>
              <w:jc w:val="left"/>
              <w:textAlignment w:val="center"/>
              <w:rPr>
                <w:rFonts w:hint="default" w:ascii="黑体" w:hAnsi="黑体" w:eastAsia="黑体"/>
                <w:b w:val="0"/>
                <w:i w:val="0"/>
                <w:snapToGrid/>
                <w:color w:val="000000"/>
                <w:sz w:val="32"/>
                <w:u w:val="none"/>
                <w:lang w:eastAsia="zh-CN"/>
              </w:rPr>
            </w:pPr>
            <w:r>
              <w:rPr>
                <w:rFonts w:hint="default" w:ascii="黑体" w:hAnsi="黑体" w:eastAsia="黑体"/>
                <w:b w:val="0"/>
                <w:i w:val="0"/>
                <w:snapToGrid/>
                <w:color w:val="000000"/>
                <w:sz w:val="32"/>
                <w:u w:val="none"/>
                <w:lang w:eastAsia="zh-CN"/>
              </w:rPr>
              <w:t>附件3</w:t>
            </w:r>
          </w:p>
        </w:tc>
        <w:tc>
          <w:tcPr>
            <w:tcW w:w="1248" w:type="dxa"/>
            <w:vAlign w:val="center"/>
          </w:tcPr>
          <w:p>
            <w:pPr>
              <w:kinsoku/>
              <w:autoSpaceDE/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</w:p>
        </w:tc>
        <w:tc>
          <w:tcPr>
            <w:tcW w:w="2189" w:type="dxa"/>
            <w:vAlign w:val="center"/>
          </w:tcPr>
          <w:p>
            <w:pPr>
              <w:kinsoku/>
              <w:autoSpaceDE/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</w:p>
        </w:tc>
        <w:tc>
          <w:tcPr>
            <w:tcW w:w="3823" w:type="dxa"/>
            <w:vAlign w:val="center"/>
          </w:tcPr>
          <w:p>
            <w:pPr>
              <w:kinsoku/>
              <w:autoSpaceDE/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</w:p>
        </w:tc>
        <w:tc>
          <w:tcPr>
            <w:tcW w:w="924" w:type="dxa"/>
            <w:vAlign w:val="center"/>
          </w:tcPr>
          <w:p>
            <w:pPr>
              <w:kinsoku/>
              <w:autoSpaceDE/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</w:p>
        </w:tc>
        <w:tc>
          <w:tcPr>
            <w:tcW w:w="1800" w:type="dxa"/>
            <w:gridSpan w:val="2"/>
            <w:vAlign w:val="center"/>
          </w:tcPr>
          <w:p>
            <w:pPr>
              <w:kinsoku/>
              <w:autoSpaceDE/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</w:p>
        </w:tc>
        <w:tc>
          <w:tcPr>
            <w:tcW w:w="1380" w:type="dxa"/>
            <w:gridSpan w:val="2"/>
            <w:vAlign w:val="center"/>
          </w:tcPr>
          <w:p>
            <w:pPr>
              <w:kinsoku/>
              <w:autoSpaceDE/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</w:p>
        </w:tc>
        <w:tc>
          <w:tcPr>
            <w:tcW w:w="1068" w:type="dxa"/>
            <w:vAlign w:val="center"/>
          </w:tcPr>
          <w:p>
            <w:pPr>
              <w:kinsoku/>
              <w:autoSpaceDE/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</w:p>
        </w:tc>
        <w:tc>
          <w:tcPr>
            <w:tcW w:w="732" w:type="dxa"/>
            <w:vAlign w:val="center"/>
          </w:tcPr>
          <w:p>
            <w:pPr>
              <w:kinsoku/>
              <w:autoSpaceDE/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1260" w:hRule="atLeast"/>
        </w:trPr>
        <w:tc>
          <w:tcPr>
            <w:tcW w:w="14029" w:type="dxa"/>
            <w:gridSpan w:val="11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48"/>
                <w:u w:val="none"/>
                <w:lang w:eastAsia="zh-CN"/>
              </w:rPr>
            </w:pPr>
            <w:r>
              <w:rPr>
                <w:rFonts w:hint="eastAsia" w:ascii="宋体" w:hAnsi="宋体"/>
                <w:b/>
                <w:i w:val="0"/>
                <w:snapToGrid/>
                <w:color w:val="000000"/>
                <w:sz w:val="48"/>
                <w:u w:val="none"/>
                <w:lang w:val="en-US" w:eastAsia="zh-CN"/>
              </w:rPr>
              <w:t>应县农业农村局</w:t>
            </w:r>
            <w:r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48"/>
                <w:u w:val="none"/>
                <w:lang w:eastAsia="zh-CN"/>
              </w:rPr>
              <w:t>随机抽查事项清单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75" w:hRule="atLeast"/>
        </w:trPr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  <w:t>序号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  <w:t>抽查事项</w:t>
            </w:r>
          </w:p>
        </w:tc>
        <w:tc>
          <w:tcPr>
            <w:tcW w:w="2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  <w:t>检查依据</w:t>
            </w:r>
          </w:p>
        </w:tc>
        <w:tc>
          <w:tcPr>
            <w:tcW w:w="3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  <w:t>检查内容</w:t>
            </w:r>
          </w:p>
        </w:tc>
        <w:tc>
          <w:tcPr>
            <w:tcW w:w="12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  <w:t>检查方式</w:t>
            </w:r>
          </w:p>
        </w:tc>
        <w:tc>
          <w:tcPr>
            <w:tcW w:w="22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  <w:t>适用对象</w:t>
            </w: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  <w:t>抽查比例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  <w:t>抽查频次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34" w:hRule="atLeast"/>
        </w:trPr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  <w:lang w:val="en-US" w:eastAsia="zh-CN"/>
              </w:rPr>
              <w:t>1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  <w:t>农药生产经营监督检查</w:t>
            </w:r>
          </w:p>
        </w:tc>
        <w:tc>
          <w:tcPr>
            <w:tcW w:w="2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  <w:t>《中华人民共和国农药管理条例》《农药管理条例实施办法》</w:t>
            </w:r>
          </w:p>
        </w:tc>
        <w:tc>
          <w:tcPr>
            <w:tcW w:w="3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  <w:t>农药经营户是否按要求进行经营，对违反“规定”的行为是否按要求进行整改纠正；农药经营户对经营的产品是否都到县农业部门进行告知，农药安全风险事件是否及时上报，农药药害是否妥善处理。</w:t>
            </w:r>
          </w:p>
        </w:tc>
        <w:tc>
          <w:tcPr>
            <w:tcW w:w="12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  <w:t>定期抽查和不定期抽查相结合的方式</w:t>
            </w:r>
          </w:p>
        </w:tc>
        <w:tc>
          <w:tcPr>
            <w:tcW w:w="22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  <w:t>生产企业、经营企业及经营门店</w:t>
            </w: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  <w:t>生产企业20%； 经营企业3%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  <w:t>2次/年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98" w:hRule="atLeast"/>
        </w:trPr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  <w:lang w:val="en-US" w:eastAsia="zh-CN"/>
              </w:rPr>
              <w:t>2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  <w:t>农作物种子生产经营监督检查</w:t>
            </w:r>
          </w:p>
        </w:tc>
        <w:tc>
          <w:tcPr>
            <w:tcW w:w="2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  <w:t>《中华人民共和国种子法》《农作物种子标签管理办法》《山西省农作物种子条例》</w:t>
            </w:r>
          </w:p>
        </w:tc>
        <w:tc>
          <w:tcPr>
            <w:tcW w:w="3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  <w:t>（一）许可资格：许可证是否在有效期内，发生变更是否按规定及时办理变更手续；种子生产经营者是否持续具备规定的许可条件，是否超许可范围生产经营；主要检验、加工、包装、仓储等设备设施是否符合许可条件，涉及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  <w:t>计量的检验、包装仪器设备检定情况。</w:t>
            </w:r>
          </w:p>
          <w:p>
            <w:pPr>
              <w:kinsoku/>
              <w:autoSpaceDE/>
              <w:autoSpaceDN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  <w:t>（二）质量管理：种子生产经营管理体系运行情况，管理制度、责任制度和操作规程执行情况，使用的法规、规范、标准是否齐全并现行有效，种子生产经营活动记录和技术档案，种子质量事故应急措施和处理预案。</w:t>
            </w:r>
          </w:p>
          <w:p>
            <w:pPr>
              <w:kinsoku/>
              <w:autoSpaceDE/>
              <w:autoSpaceDN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  <w:t>（三）是否能够按照《种子法》的规定生产经营。</w:t>
            </w:r>
          </w:p>
        </w:tc>
        <w:tc>
          <w:tcPr>
            <w:tcW w:w="12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  <w:t>定期抽查和不定期抽查相结合的方式</w:t>
            </w:r>
          </w:p>
        </w:tc>
        <w:tc>
          <w:tcPr>
            <w:tcW w:w="22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  <w:t>生产企业、经营企业及经营门店</w:t>
            </w: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  <w:t>生产企业20%； 经营企业3%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</w:rPr>
              <w:t>2次/年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18" w:hRule="atLeast"/>
        </w:trPr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  <w:lang w:val="en-US" w:eastAsia="zh-CN"/>
              </w:rPr>
              <w:t>3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  <w:t>肥料生产经营监督管理</w:t>
            </w:r>
          </w:p>
        </w:tc>
        <w:tc>
          <w:tcPr>
            <w:tcW w:w="2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  <w:t>《肥料登记管理办法》《山西省肥料管理办法》</w:t>
            </w:r>
          </w:p>
        </w:tc>
        <w:tc>
          <w:tcPr>
            <w:tcW w:w="3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  <w:t>生产、销售未取得登记证的肥料产品；假冒、伪造肥料登记证、登记证号的；生产、销售的肥料产品有效成分或含量与登记批准的内容不符的；转让肥料登记证或登记证号的；登记证有效期满未经批准续展登记而继续生产该肥料产品的；生产、销售包装上未附标签、标签残缺不清或者擅自修改标签内容的。</w:t>
            </w:r>
          </w:p>
        </w:tc>
        <w:tc>
          <w:tcPr>
            <w:tcW w:w="12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  <w:t>定期抽查和不定期抽查相结合的方式</w:t>
            </w:r>
          </w:p>
        </w:tc>
        <w:tc>
          <w:tcPr>
            <w:tcW w:w="22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  <w:t>生产企业、经营企业及经营门店</w:t>
            </w:r>
          </w:p>
        </w:tc>
        <w:tc>
          <w:tcPr>
            <w:tcW w:w="556" w:type="dxa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  <w:t>生产企业20%； 经营企业3%</w:t>
            </w:r>
          </w:p>
        </w:tc>
        <w:tc>
          <w:tcPr>
            <w:tcW w:w="1068" w:type="dxa"/>
            <w:tcBorders>
              <w:lef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  <w:t>2次/年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54" w:hRule="atLeast"/>
        </w:trPr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  <w:lang w:val="en-US" w:eastAsia="zh-CN"/>
              </w:rPr>
              <w:t>4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  <w:t>植物检疫</w:t>
            </w:r>
          </w:p>
        </w:tc>
        <w:tc>
          <w:tcPr>
            <w:tcW w:w="2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  <w:t>根据1992年5月13日《国务院关于修改&lt;植物检疫条例&gt;的决定》第三条</w:t>
            </w:r>
          </w:p>
        </w:tc>
        <w:tc>
          <w:tcPr>
            <w:tcW w:w="3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  <w:t>是否申请办理种苗产地检疫、调运检疫手续；引种单位是否按规定进行隔离试种；发现疫情是否及时向当地植物检疫机构报告；贯彻落实《植物检疫条例》、《植物检疫条例实施细则》等。</w:t>
            </w:r>
          </w:p>
        </w:tc>
        <w:tc>
          <w:tcPr>
            <w:tcW w:w="12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  <w:t>定期抽查和不定期抽查相结合的方式</w:t>
            </w:r>
          </w:p>
        </w:tc>
        <w:tc>
          <w:tcPr>
            <w:tcW w:w="22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  <w:t>生产企业、经营企业及经营门店</w:t>
            </w: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  <w:t>生产企业20%； 经营企业3%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</w:rPr>
              <w:t>2次/年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54" w:hRule="atLeast"/>
        </w:trPr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  <w:lang w:val="en-US" w:eastAsia="zh-CN"/>
              </w:rPr>
              <w:t>5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  <w:t>农产品质量安全</w:t>
            </w:r>
          </w:p>
        </w:tc>
        <w:tc>
          <w:tcPr>
            <w:tcW w:w="2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  <w:t>《农产品质量安全监测管理办法》第三条、第四条</w:t>
            </w:r>
          </w:p>
        </w:tc>
        <w:tc>
          <w:tcPr>
            <w:tcW w:w="3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  <w:t>农产品生产单位生产的农产品开展风险监测和监督抽查</w:t>
            </w:r>
          </w:p>
        </w:tc>
        <w:tc>
          <w:tcPr>
            <w:tcW w:w="12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  <w:t>定期抽查和不定期抽查相结合的方式</w:t>
            </w:r>
          </w:p>
        </w:tc>
        <w:tc>
          <w:tcPr>
            <w:tcW w:w="22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  <w:t>生产企业、经营企业及经营门店</w:t>
            </w: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  <w:t>生产企业20%； 经营企业3%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</w:rPr>
              <w:t>2次/年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10" w:hRule="atLeast"/>
        </w:trPr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  <w:lang w:val="en-US" w:eastAsia="zh-CN"/>
              </w:rPr>
              <w:t>6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  <w:t>无公害农产品</w:t>
            </w:r>
          </w:p>
        </w:tc>
        <w:tc>
          <w:tcPr>
            <w:tcW w:w="2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  <w:t>《无公害农产品管理办法》（2002年农业部、质检总局第12号令）</w:t>
            </w:r>
          </w:p>
        </w:tc>
        <w:tc>
          <w:tcPr>
            <w:tcW w:w="3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  <w:t>无公害农产品的产地认定证书、产品认证证书、标志和产品质量开展风险监测和监督抽查</w:t>
            </w:r>
          </w:p>
        </w:tc>
        <w:tc>
          <w:tcPr>
            <w:tcW w:w="12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  <w:t>定期抽查和不定期抽查相结合的方式</w:t>
            </w:r>
          </w:p>
        </w:tc>
        <w:tc>
          <w:tcPr>
            <w:tcW w:w="22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  <w:t>生产企业、经营企业及经营门店</w:t>
            </w: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  <w:t>生产企业20%； 经营企业3%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  <w:t>2次/年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10" w:hRule="atLeast"/>
        </w:trPr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  <w:lang w:val="en-US" w:eastAsia="zh-CN"/>
              </w:rPr>
              <w:t>7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  <w:t>农业转基因</w:t>
            </w:r>
          </w:p>
        </w:tc>
        <w:tc>
          <w:tcPr>
            <w:tcW w:w="2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  <w:t>《农业转基因生物安全管理条例》（2001年国务院令第304号）</w:t>
            </w:r>
          </w:p>
        </w:tc>
        <w:tc>
          <w:tcPr>
            <w:tcW w:w="3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  <w:t>转基因生物的生产、经营单位和个人开展风险监测和监督抽查</w:t>
            </w:r>
          </w:p>
        </w:tc>
        <w:tc>
          <w:tcPr>
            <w:tcW w:w="12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  <w:t>定期抽查和不定期抽查相结合的方式</w:t>
            </w:r>
          </w:p>
        </w:tc>
        <w:tc>
          <w:tcPr>
            <w:tcW w:w="22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  <w:t>生产企业、经营企业及经营门店</w:t>
            </w: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  <w:t>生产企业20%； 经营企业3%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  <w:t>2次/年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10" w:hRule="atLeast"/>
        </w:trPr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  <w:lang w:val="en-US" w:eastAsia="zh-CN"/>
              </w:rPr>
              <w:t>8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  <w:t>植物新品种保护</w:t>
            </w:r>
          </w:p>
        </w:tc>
        <w:tc>
          <w:tcPr>
            <w:tcW w:w="2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  <w:t>《中华人民共和国植物新品种保护条例》（1997年国务院令第213号,2013年修订）</w:t>
            </w:r>
          </w:p>
        </w:tc>
        <w:tc>
          <w:tcPr>
            <w:tcW w:w="3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  <w:t>对假冒、销售未注册登记的授权植物品种</w:t>
            </w:r>
          </w:p>
        </w:tc>
        <w:tc>
          <w:tcPr>
            <w:tcW w:w="12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  <w:t>定期抽查和不定期抽查相结合的方式</w:t>
            </w:r>
          </w:p>
        </w:tc>
        <w:tc>
          <w:tcPr>
            <w:tcW w:w="22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  <w:t>生产企业、经营企业及经营门店</w:t>
            </w: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  <w:t>生产企业20%； 经营企业3%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  <w:t>2次/年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</w:pPr>
          </w:p>
        </w:tc>
      </w:tr>
    </w:tbl>
    <w:p>
      <w:pPr>
        <w:rPr>
          <w:rFonts w:hint="eastAsia" w:ascii="仿宋" w:hAnsi="仿宋" w:eastAsia="仿宋" w:cs="仿宋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15D6D07"/>
    <w:rsid w:val="531D7242"/>
    <w:rsid w:val="67B078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2019-08-30T02:38:00Z</dcterms:created>
  <dc:creator>lenovo</dc:creator>
  <cp:lastModifiedBy>风云争霸</cp:lastModifiedBy>
  <cp:lastPrinted>2019-08-30T02:40:00Z</cp:lastPrinted>
  <dcterms:modified xsi:type="dcterms:W3CDTF">2020-04-21T09:19:22Z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