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5" w:lineRule="atLeast"/>
        <w:ind w:left="0" w:right="0" w:firstLine="0"/>
        <w:jc w:val="center"/>
        <w:rPr>
          <w:rFonts w:hint="eastAsia" w:ascii="宋体" w:hAnsi="宋体" w:eastAsia="宋体" w:cs="宋体"/>
          <w:b/>
          <w:bCs/>
          <w:i w:val="0"/>
          <w:iCs w:val="0"/>
          <w:caps w:val="0"/>
          <w:color w:val="333333"/>
          <w:spacing w:val="0"/>
          <w:sz w:val="36"/>
          <w:szCs w:val="36"/>
        </w:rPr>
      </w:pPr>
      <w:r>
        <w:rPr>
          <w:rFonts w:hint="eastAsia" w:ascii="宋体" w:hAnsi="宋体" w:eastAsia="宋体" w:cs="宋体"/>
          <w:b/>
          <w:bCs/>
          <w:i w:val="0"/>
          <w:iCs w:val="0"/>
          <w:caps w:val="0"/>
          <w:color w:val="333333"/>
          <w:spacing w:val="0"/>
          <w:sz w:val="36"/>
          <w:szCs w:val="36"/>
          <w:bdr w:val="none" w:color="auto" w:sz="0" w:space="0"/>
          <w:shd w:val="clear" w:fill="FFFFFF"/>
          <w:lang w:eastAsia="zh-CN"/>
        </w:rPr>
        <w:t>应县</w:t>
      </w:r>
      <w:r>
        <w:rPr>
          <w:rFonts w:hint="eastAsia" w:ascii="宋体" w:hAnsi="宋体" w:eastAsia="宋体" w:cs="宋体"/>
          <w:b/>
          <w:bCs/>
          <w:i w:val="0"/>
          <w:iCs w:val="0"/>
          <w:caps w:val="0"/>
          <w:color w:val="333333"/>
          <w:spacing w:val="0"/>
          <w:sz w:val="36"/>
          <w:szCs w:val="36"/>
          <w:bdr w:val="none" w:color="auto" w:sz="0" w:space="0"/>
          <w:shd w:val="clear" w:fill="FFFFFF"/>
        </w:rPr>
        <w:t>交通运输局重大行政执法决定法制审核目录清单</w:t>
      </w:r>
    </w:p>
    <w:tbl>
      <w:tblPr>
        <w:tblW w:w="1436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70"/>
        <w:gridCol w:w="1005"/>
        <w:gridCol w:w="4845"/>
        <w:gridCol w:w="3390"/>
        <w:gridCol w:w="40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70" w:type="dxa"/>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b/>
                <w:bCs/>
                <w:color w:val="auto"/>
                <w:kern w:val="0"/>
                <w:sz w:val="24"/>
                <w:szCs w:val="24"/>
                <w:bdr w:val="none" w:color="auto" w:sz="0" w:space="0"/>
                <w:lang w:val="en-US" w:eastAsia="zh-CN" w:bidi="ar"/>
              </w:rPr>
              <w:t>序号</w:t>
            </w:r>
          </w:p>
        </w:tc>
        <w:tc>
          <w:tcPr>
            <w:tcW w:w="1005" w:type="dxa"/>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b/>
                <w:bCs/>
                <w:color w:val="auto"/>
                <w:kern w:val="0"/>
                <w:sz w:val="24"/>
                <w:szCs w:val="24"/>
                <w:bdr w:val="none" w:color="auto" w:sz="0" w:space="0"/>
                <w:lang w:val="en-US" w:eastAsia="zh-CN" w:bidi="ar"/>
              </w:rPr>
              <w:t>执法类别</w:t>
            </w:r>
          </w:p>
        </w:tc>
        <w:tc>
          <w:tcPr>
            <w:tcW w:w="4845" w:type="dxa"/>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b/>
                <w:bCs/>
                <w:color w:val="auto"/>
                <w:kern w:val="0"/>
                <w:sz w:val="24"/>
                <w:szCs w:val="24"/>
                <w:bdr w:val="none" w:color="auto" w:sz="0" w:space="0"/>
                <w:lang w:val="en-US" w:eastAsia="zh-CN" w:bidi="ar"/>
              </w:rPr>
              <w:t>审核的具体执法决定项目</w:t>
            </w:r>
          </w:p>
        </w:tc>
        <w:tc>
          <w:tcPr>
            <w:tcW w:w="3390" w:type="dxa"/>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b/>
                <w:bCs/>
                <w:color w:val="auto"/>
                <w:kern w:val="0"/>
                <w:sz w:val="24"/>
                <w:szCs w:val="24"/>
                <w:bdr w:val="none" w:color="auto" w:sz="0" w:space="0"/>
                <w:lang w:val="en-US" w:eastAsia="zh-CN" w:bidi="ar"/>
              </w:rPr>
              <w:t>应提交的审核资料</w:t>
            </w:r>
          </w:p>
        </w:tc>
        <w:tc>
          <w:tcPr>
            <w:tcW w:w="4050" w:type="dxa"/>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b/>
                <w:bCs/>
                <w:color w:val="auto"/>
                <w:kern w:val="0"/>
                <w:sz w:val="24"/>
                <w:szCs w:val="24"/>
                <w:bdr w:val="none" w:color="auto" w:sz="0" w:space="0"/>
                <w:lang w:val="en-US" w:eastAsia="zh-CN" w:bidi="ar"/>
              </w:rPr>
              <w:t>审核重点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27" w:hRule="atLeast"/>
        </w:trPr>
        <w:tc>
          <w:tcPr>
            <w:tcW w:w="107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1</w:t>
            </w:r>
          </w:p>
        </w:tc>
        <w:tc>
          <w:tcPr>
            <w:tcW w:w="100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行政许可</w:t>
            </w: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具备以下情形的许可项目：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（一）涉及重大国家利益和公共利益的事项；</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（二）可能造成重大社会影响或引发社会风险的。重大社会影响是指具有示范效应，属于社会关注热点的；引发社会风险是指对从业单位和人员群体利益可能诱发连锁反应的；</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（三）不予行政许可延续决定、撤销行政许可决定的；</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（四）拟对发生法律效力的行政执法决定进行纠正的；</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（五）拟作出行政赔偿或者不予行政赔偿决定的；</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（六）法律、法规、规章或者上级文件规定应当进行法制审核的。</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（一）重大行政执法决定的调查终结报告；</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（二）重大行政执法决定建议或者意见及其情况说明；</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（三）重大行政执法决定书代拟稿；</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（四）相关证据资料；</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（五）经听证或者评估的，还应当提交听证笔录或者评估报告；</w:t>
            </w:r>
            <w:r>
              <w:rPr>
                <w:rFonts w:hint="eastAsia" w:ascii="宋体" w:hAnsi="宋体" w:eastAsia="宋体" w:cs="宋体"/>
                <w:color w:val="auto"/>
                <w:kern w:val="0"/>
                <w:sz w:val="24"/>
                <w:szCs w:val="24"/>
                <w:bdr w:val="none" w:color="auto" w:sz="0" w:space="0"/>
                <w:lang w:val="en-US" w:eastAsia="zh-CN" w:bidi="ar"/>
              </w:rPr>
              <w:br w:type="textWrapping"/>
            </w:r>
            <w:r>
              <w:rPr>
                <w:rFonts w:hint="eastAsia" w:ascii="宋体" w:hAnsi="宋体" w:eastAsia="宋体" w:cs="宋体"/>
                <w:color w:val="auto"/>
                <w:kern w:val="0"/>
                <w:sz w:val="24"/>
                <w:szCs w:val="24"/>
                <w:bdr w:val="none" w:color="auto" w:sz="0" w:space="0"/>
                <w:lang w:val="en-US" w:eastAsia="zh-CN" w:bidi="ar"/>
              </w:rPr>
              <w:t>（六）其他需要提交的材料。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是否属于重大行政执法决定；行政执法机关主体是否合法，行政执法人员是否具备执法资格；主要事实是否清楚，证据是否确凿、充分；适用法律、法规、规章是否准确；程序是否合法；是否有超越本机关职权范围或滥用职权的情形；行政执法文书是否规范、齐备；其他应当审核的内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00" w:hRule="atLeast"/>
        </w:trPr>
        <w:tc>
          <w:tcPr>
            <w:tcW w:w="107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2</w:t>
            </w:r>
          </w:p>
        </w:tc>
        <w:tc>
          <w:tcPr>
            <w:tcW w:w="1005" w:type="dxa"/>
            <w:vMerge w:val="restart"/>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行政处罚类决定</w:t>
            </w: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拟对行政相对人处以5000元以上罚款的行政处罚决定</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《现场笔录》《案件处理意见书》《陈述申辩笔录》《行政处罚决定书（代拟稿）》和相关证据资料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执法主体是否合法，执法人员是否具备执法资格；主要事实是否清楚，证据是否确凿、充分；适用依据是否准确；处罚裁量是否适当；程序是否合法，是否充分保障行政相对人权利。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050" w:hRule="atLeast"/>
        </w:trPr>
        <w:tc>
          <w:tcPr>
            <w:tcW w:w="107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3</w:t>
            </w:r>
          </w:p>
        </w:tc>
        <w:tc>
          <w:tcPr>
            <w:tcW w:w="1005" w:type="dxa"/>
            <w:vMerge w:val="continue"/>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kinsoku/>
              <w:overflowPunct/>
              <w:topLinePunct w:val="0"/>
              <w:autoSpaceDE/>
              <w:autoSpaceDN/>
              <w:bidi w:val="0"/>
              <w:adjustRightInd/>
              <w:snapToGrid/>
              <w:jc w:val="center"/>
              <w:textAlignment w:val="auto"/>
              <w:rPr>
                <w:rFonts w:hint="eastAsia" w:ascii="宋体" w:hAnsi="宋体" w:eastAsia="宋体" w:cs="宋体"/>
                <w:color w:val="auto"/>
                <w:sz w:val="24"/>
                <w:szCs w:val="24"/>
              </w:rPr>
            </w:pP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拟做出没收违法所得或没收非法财物价值相当于前项规定数额的行政处罚决</w:t>
            </w:r>
            <w:bookmarkStart w:id="0" w:name="_GoBack"/>
            <w:bookmarkEnd w:id="0"/>
            <w:r>
              <w:rPr>
                <w:rFonts w:hint="eastAsia" w:ascii="宋体" w:hAnsi="宋体" w:eastAsia="宋体" w:cs="宋体"/>
                <w:color w:val="auto"/>
                <w:kern w:val="0"/>
                <w:sz w:val="24"/>
                <w:szCs w:val="24"/>
                <w:bdr w:val="none" w:color="auto" w:sz="0" w:space="0"/>
                <w:lang w:val="en-US" w:eastAsia="zh-CN" w:bidi="ar"/>
              </w:rPr>
              <w:t>定；</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《现场笔录》《案件处理意见书》《陈述申辩笔录》《行政罚没决定书（代拟稿）》和相关证据资料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执法主体是否合法，执法人员是否具备执法资格；主要事实是否清楚，证据是否确凿、充分；适用依据是否准确；裁量是否适当；程序是否合法，是否充分保障行政相对人权利。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915" w:hRule="atLeast"/>
        </w:trPr>
        <w:tc>
          <w:tcPr>
            <w:tcW w:w="107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4</w:t>
            </w:r>
          </w:p>
        </w:tc>
        <w:tc>
          <w:tcPr>
            <w:tcW w:w="1005" w:type="dxa"/>
            <w:vMerge w:val="continue"/>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kinsoku/>
              <w:overflowPunct/>
              <w:topLinePunct w:val="0"/>
              <w:autoSpaceDE/>
              <w:autoSpaceDN/>
              <w:bidi w:val="0"/>
              <w:adjustRightInd/>
              <w:snapToGrid/>
              <w:jc w:val="center"/>
              <w:textAlignment w:val="auto"/>
              <w:rPr>
                <w:rFonts w:hint="eastAsia" w:ascii="宋体" w:hAnsi="宋体" w:eastAsia="宋体" w:cs="宋体"/>
                <w:color w:val="auto"/>
                <w:sz w:val="24"/>
                <w:szCs w:val="24"/>
              </w:rPr>
            </w:pP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拟做出责令停产、停业决定的；</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《现场笔录》《案件处理意见书》《陈述申辩笔录》《听证笔录》《行政处罚决定书（代拟稿）》和相关证据资料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执法主体是否合法，执法人员是否具备执法资格；主要事实是否清楚，证据是否确凿、充分；适用依据是否准确；裁量是否适当；程序是否合法，是否充分保障行政相对人权利。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005" w:hRule="atLeast"/>
        </w:trPr>
        <w:tc>
          <w:tcPr>
            <w:tcW w:w="107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5</w:t>
            </w:r>
          </w:p>
        </w:tc>
        <w:tc>
          <w:tcPr>
            <w:tcW w:w="1005" w:type="dxa"/>
            <w:vMerge w:val="continue"/>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kinsoku/>
              <w:overflowPunct/>
              <w:topLinePunct w:val="0"/>
              <w:autoSpaceDE/>
              <w:autoSpaceDN/>
              <w:bidi w:val="0"/>
              <w:adjustRightInd/>
              <w:snapToGrid/>
              <w:jc w:val="center"/>
              <w:textAlignment w:val="auto"/>
              <w:rPr>
                <w:rFonts w:hint="eastAsia" w:ascii="宋体" w:hAnsi="宋体" w:eastAsia="宋体" w:cs="宋体"/>
                <w:color w:val="auto"/>
                <w:sz w:val="24"/>
                <w:szCs w:val="24"/>
              </w:rPr>
            </w:pP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吊销许可证决定的</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《现场笔录》《案件处理意见书》《陈述申辩笔录》《听证笔录》《行政处罚决定书（代拟稿）》和相关证据资料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执法主体是否合法，执法人员是否具备执法资格；主要事实是否清楚，证据是否确凿、充分；适用依据是否准确；裁量是否适当；程序是否合法，是否充分保障行政相对人权利。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33" w:hRule="atLeast"/>
        </w:trPr>
        <w:tc>
          <w:tcPr>
            <w:tcW w:w="107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6</w:t>
            </w:r>
          </w:p>
        </w:tc>
        <w:tc>
          <w:tcPr>
            <w:tcW w:w="1005" w:type="dxa"/>
            <w:vMerge w:val="continue"/>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kinsoku/>
              <w:overflowPunct/>
              <w:topLinePunct w:val="0"/>
              <w:autoSpaceDE/>
              <w:autoSpaceDN/>
              <w:bidi w:val="0"/>
              <w:adjustRightInd/>
              <w:snapToGrid/>
              <w:jc w:val="center"/>
              <w:textAlignment w:val="auto"/>
              <w:rPr>
                <w:rFonts w:hint="eastAsia" w:ascii="宋体" w:hAnsi="宋体" w:eastAsia="宋体" w:cs="宋体"/>
                <w:color w:val="auto"/>
                <w:sz w:val="24"/>
                <w:szCs w:val="24"/>
              </w:rPr>
            </w:pP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经听证程序后作出的行政处罚决定；</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《现场笔录》《案件处理意见书》《陈述申辩笔录》《听证笔录》《行政处罚决定书（代拟稿）》和相关证据资料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执法主体是否合法，执法人员是否具备执法资格；主要事实是否清楚，证据是否确凿、充分；适用依据是否准确；裁量是否适当；程序是否合法，是否充分保障行政相对人权利。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90" w:hRule="atLeast"/>
        </w:trPr>
        <w:tc>
          <w:tcPr>
            <w:tcW w:w="107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7</w:t>
            </w:r>
          </w:p>
        </w:tc>
        <w:tc>
          <w:tcPr>
            <w:tcW w:w="1005" w:type="dxa"/>
            <w:vMerge w:val="continue"/>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kinsoku/>
              <w:overflowPunct/>
              <w:topLinePunct w:val="0"/>
              <w:autoSpaceDE/>
              <w:autoSpaceDN/>
              <w:bidi w:val="0"/>
              <w:adjustRightInd/>
              <w:snapToGrid/>
              <w:jc w:val="center"/>
              <w:textAlignment w:val="auto"/>
              <w:rPr>
                <w:rFonts w:hint="eastAsia" w:ascii="宋体" w:hAnsi="宋体" w:eastAsia="宋体" w:cs="宋体"/>
                <w:color w:val="auto"/>
                <w:sz w:val="24"/>
                <w:szCs w:val="24"/>
              </w:rPr>
            </w:pP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拟加重、减轻或免于行政处罚的；</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《现场笔录》《案件处理意见书》《陈述申辩笔录》《行政处罚决定书（代拟稿）》、作出减轻或加重处罚的说明；和相关证据资料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执法主体是否合法，执法人员是否具备执法资格；主要事实是否清楚，证据是否确凿、充分；适用依据是否准确；作出减轻或加重处罚的事实、证据、依据是否清楚、确凿、适当；程序是否合法，是否充分保障行政相对人权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35" w:hRule="atLeast"/>
        </w:trPr>
        <w:tc>
          <w:tcPr>
            <w:tcW w:w="107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8</w:t>
            </w:r>
          </w:p>
        </w:tc>
        <w:tc>
          <w:tcPr>
            <w:tcW w:w="1005" w:type="dxa"/>
            <w:vMerge w:val="continue"/>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kinsoku/>
              <w:overflowPunct/>
              <w:topLinePunct w:val="0"/>
              <w:autoSpaceDE/>
              <w:autoSpaceDN/>
              <w:bidi w:val="0"/>
              <w:adjustRightInd/>
              <w:snapToGrid/>
              <w:jc w:val="center"/>
              <w:textAlignment w:val="auto"/>
              <w:rPr>
                <w:rFonts w:hint="eastAsia" w:ascii="宋体" w:hAnsi="宋体" w:eastAsia="宋体" w:cs="宋体"/>
                <w:color w:val="auto"/>
                <w:sz w:val="24"/>
                <w:szCs w:val="24"/>
              </w:rPr>
            </w:pP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案件承办机构负责人认为应当提请法治审核的其他重大、复杂、疑难的行政处罚决定。</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《现场笔录》《案件处理意见书》《陈述申辩笔录》《行政处罚决定书（代拟稿）》情况说明和相关证据资料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执法主体是否合法，执法人员是否具备执法资格；主要事实是否清楚，证据是否确凿、充分；适用依据是否准确；处罚裁量是否适当；程序是否合法，是否充分保障行政相对人权利。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20" w:hRule="atLeast"/>
        </w:trPr>
        <w:tc>
          <w:tcPr>
            <w:tcW w:w="1070" w:type="dxa"/>
            <w:vMerge w:val="restart"/>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9</w:t>
            </w:r>
          </w:p>
        </w:tc>
        <w:tc>
          <w:tcPr>
            <w:tcW w:w="1005" w:type="dxa"/>
            <w:vMerge w:val="restart"/>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其他类</w:t>
            </w: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行政执法决定涉嫌犯罪需要移送司法机关的</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《行政处罚案件处理内部审批表》《行政违法案件移送函》（代拟稿）和案件处理意见书、涉嫌犯罪案件有关材料、涉案物品清单</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涉嫌犯罪的事实是否清楚，证据是否确凿、充分，适用依据是否准确；调查办案程序是否合法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32" w:hRule="atLeast"/>
        </w:trPr>
        <w:tc>
          <w:tcPr>
            <w:tcW w:w="1070" w:type="dxa"/>
            <w:vMerge w:val="continue"/>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kinsoku/>
              <w:overflowPunct/>
              <w:topLinePunct w:val="0"/>
              <w:autoSpaceDE/>
              <w:autoSpaceDN/>
              <w:bidi w:val="0"/>
              <w:adjustRightInd/>
              <w:snapToGrid/>
              <w:textAlignment w:val="auto"/>
              <w:rPr>
                <w:rFonts w:hint="eastAsia" w:ascii="宋体" w:hAnsi="宋体" w:eastAsia="宋体" w:cs="宋体"/>
                <w:color w:val="auto"/>
                <w:sz w:val="24"/>
                <w:szCs w:val="24"/>
              </w:rPr>
            </w:pPr>
          </w:p>
        </w:tc>
        <w:tc>
          <w:tcPr>
            <w:tcW w:w="1005" w:type="dxa"/>
            <w:vMerge w:val="continue"/>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kinsoku/>
              <w:overflowPunct/>
              <w:topLinePunct w:val="0"/>
              <w:autoSpaceDE/>
              <w:autoSpaceDN/>
              <w:bidi w:val="0"/>
              <w:adjustRightInd/>
              <w:snapToGrid/>
              <w:textAlignment w:val="auto"/>
              <w:rPr>
                <w:rFonts w:hint="eastAsia" w:ascii="宋体" w:hAnsi="宋体" w:eastAsia="宋体" w:cs="宋体"/>
                <w:color w:val="auto"/>
                <w:sz w:val="24"/>
                <w:szCs w:val="24"/>
              </w:rPr>
            </w:pPr>
          </w:p>
        </w:tc>
        <w:tc>
          <w:tcPr>
            <w:tcW w:w="4845"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规范性文件</w:t>
            </w:r>
          </w:p>
        </w:tc>
        <w:tc>
          <w:tcPr>
            <w:tcW w:w="339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草拟材料、设定依据材料</w:t>
            </w:r>
          </w:p>
        </w:tc>
        <w:tc>
          <w:tcPr>
            <w:tcW w:w="4050"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bdr w:val="none" w:color="auto" w:sz="0" w:space="0"/>
                <w:lang w:val="en-US" w:eastAsia="zh-CN" w:bidi="ar"/>
              </w:rPr>
              <w:t>规范性文件制定主体是否合法、规范范围是否明确内容是否符合宪法、法律、法规、规章和国家政策；是否违法创设行政许可、行政处罚、行政强制、行政征收、行政收费等事项；是否存在没有法律、法规依据作出减损公民、法人和其他组织合法权益或者增加其义务的情形；是否存在没有法律、法规依据作出增加本单位权力或者减少本单位法定职责的情形；是否违反规范性文件制定程序等。</w:t>
            </w:r>
          </w:p>
        </w:tc>
      </w:tr>
    </w:tbl>
    <w:p/>
    <w:sectPr>
      <w:pgSz w:w="16838" w:h="11906" w:orient="landscape"/>
      <w:pgMar w:top="1417" w:right="1417" w:bottom="1417"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hZTcxMmUyMjllNTg0YWIyMTA1MmMyYTQ2YjJmNjQifQ=="/>
  </w:docVars>
  <w:rsids>
    <w:rsidRoot w:val="00000000"/>
    <w:rsid w:val="3A892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2022-11-19T10:19:10Z</dcterms:created>
  <dc:creator>Administrator</dc:creator>
  <cp:lastModifiedBy>常天亮</cp:lastModifiedBy>
  <dcterms:modified xsi:type="dcterms:W3CDTF">2022-11-19T10:24:43Z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6BE9D3588A1540238C642A04F651D00C</vt:lpwstr>
  </property>
</Properties>
</file>