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黑体" w:eastAsia="方正小标宋简体"/>
          <w:sz w:val="44"/>
          <w:szCs w:val="44"/>
        </w:rPr>
      </w:pPr>
      <w:bookmarkStart w:id="0" w:name="_GoBack"/>
      <w:bookmarkEnd w:id="0"/>
      <w:r>
        <w:rPr>
          <w:rFonts w:hint="eastAsia" w:ascii="方正小标宋简体" w:hAnsi="黑体" w:eastAsia="方正小标宋简体"/>
          <w:sz w:val="44"/>
          <w:szCs w:val="44"/>
          <w:lang w:eastAsia="zh-CN"/>
        </w:rPr>
        <w:t>应县</w:t>
      </w:r>
      <w:r>
        <w:rPr>
          <w:rFonts w:hint="eastAsia" w:ascii="方正小标宋简体" w:hAnsi="黑体" w:eastAsia="方正小标宋简体"/>
          <w:b w:val="0"/>
          <w:bCs w:val="0"/>
          <w:sz w:val="44"/>
          <w:szCs w:val="44"/>
          <w:u w:val="thick"/>
          <w:lang w:eastAsia="zh-CN"/>
        </w:rPr>
        <w:t>工业和信息化</w:t>
      </w:r>
      <w:r>
        <w:rPr>
          <w:rFonts w:hint="eastAsia" w:ascii="方正小标宋简体" w:hAnsi="黑体" w:eastAsia="方正小标宋简体"/>
          <w:sz w:val="44"/>
          <w:szCs w:val="44"/>
        </w:rPr>
        <w:t>局权力和责任清单（共</w:t>
      </w:r>
      <w:r>
        <w:rPr>
          <w:rFonts w:hint="eastAsia" w:ascii="方正小标宋简体" w:hAnsi="黑体" w:eastAsia="方正小标宋简体"/>
          <w:sz w:val="44"/>
          <w:szCs w:val="44"/>
          <w:lang w:val="en-US" w:eastAsia="zh-CN"/>
        </w:rPr>
        <w:t>3</w:t>
      </w:r>
      <w:r>
        <w:rPr>
          <w:rFonts w:hint="eastAsia" w:ascii="方正小标宋简体" w:hAnsi="黑体" w:eastAsia="方正小标宋简体"/>
          <w:sz w:val="44"/>
          <w:szCs w:val="44"/>
        </w:rPr>
        <w:t>项）</w:t>
      </w:r>
    </w:p>
    <w:tbl>
      <w:tblPr>
        <w:tblStyle w:val="4"/>
        <w:tblpPr w:leftFromText="748" w:rightFromText="748" w:horzAnchor="margin" w:tblpY="772"/>
        <w:tblOverlap w:val="never"/>
        <w:tblW w:w="14000" w:type="dxa"/>
        <w:tblInd w:w="0" w:type="dxa"/>
        <w:tblLayout w:type="fixed"/>
        <w:tblCellMar>
          <w:top w:w="0" w:type="dxa"/>
          <w:left w:w="0" w:type="dxa"/>
          <w:bottom w:w="0" w:type="dxa"/>
          <w:right w:w="0" w:type="dxa"/>
        </w:tblCellMar>
      </w:tblPr>
      <w:tblGrid>
        <w:gridCol w:w="649"/>
        <w:gridCol w:w="1160"/>
        <w:gridCol w:w="1110"/>
        <w:gridCol w:w="529"/>
        <w:gridCol w:w="3243"/>
        <w:gridCol w:w="4193"/>
        <w:gridCol w:w="2312"/>
        <w:gridCol w:w="804"/>
      </w:tblGrid>
      <w:tr>
        <w:tblPrEx>
          <w:tblCellMar>
            <w:top w:w="0" w:type="dxa"/>
            <w:left w:w="0" w:type="dxa"/>
            <w:bottom w:w="0" w:type="dxa"/>
            <w:right w:w="0" w:type="dxa"/>
          </w:tblCellMar>
        </w:tblPrEx>
        <w:trPr>
          <w:trHeight w:val="694" w:hRule="atLeast"/>
        </w:trPr>
        <w:tc>
          <w:tcPr>
            <w:tcW w:w="14000" w:type="dxa"/>
            <w:gridSpan w:val="8"/>
            <w:tcBorders>
              <w:top w:val="nil"/>
              <w:left w:val="nil"/>
              <w:bottom w:val="single" w:color="000000" w:sz="4" w:space="0"/>
              <w:right w:val="nil"/>
            </w:tcBorders>
            <w:noWrap w:val="0"/>
            <w:tcMar>
              <w:top w:w="12" w:type="dxa"/>
              <w:left w:w="12" w:type="dxa"/>
              <w:bottom w:w="0" w:type="dxa"/>
              <w:right w:w="12" w:type="dxa"/>
            </w:tcMar>
            <w:vAlign w:val="center"/>
          </w:tcPr>
          <w:p>
            <w:pPr>
              <w:widowControl/>
              <w:jc w:val="center"/>
              <w:rPr>
                <w:rFonts w:ascii="方正小标宋简体" w:hAnsi="Calibri" w:eastAsia="方正小标宋简体" w:cs="Calibri"/>
                <w:color w:val="000000"/>
                <w:kern w:val="0"/>
                <w:sz w:val="44"/>
                <w:szCs w:val="44"/>
              </w:rPr>
            </w:pPr>
            <w:r>
              <w:rPr>
                <w:rFonts w:hint="eastAsia" w:ascii="方正小标宋简体" w:hAnsi="Calibri" w:eastAsia="方正小标宋简体" w:cs="Calibri"/>
                <w:color w:val="000000"/>
                <w:kern w:val="0"/>
                <w:sz w:val="44"/>
                <w:szCs w:val="44"/>
              </w:rPr>
              <w:t>（一）</w:t>
            </w:r>
            <w:r>
              <w:rPr>
                <w:rFonts w:hint="eastAsia" w:ascii="方正小标宋简体" w:hAnsi="Calibri" w:eastAsia="方正小标宋简体" w:cs="Calibri"/>
                <w:color w:val="000000"/>
                <w:kern w:val="0"/>
                <w:sz w:val="44"/>
                <w:szCs w:val="44"/>
                <w:lang w:eastAsia="zh-CN"/>
              </w:rPr>
              <w:t>行政许可</w:t>
            </w:r>
            <w:r>
              <w:rPr>
                <w:rFonts w:hint="eastAsia" w:ascii="方正小标宋简体" w:hAnsi="Calibri" w:eastAsia="方正小标宋简体" w:cs="Calibri"/>
                <w:color w:val="000000"/>
                <w:kern w:val="0"/>
                <w:sz w:val="44"/>
                <w:szCs w:val="44"/>
              </w:rPr>
              <w:t>类（共</w:t>
            </w:r>
            <w:r>
              <w:rPr>
                <w:rFonts w:hint="eastAsia" w:ascii="方正小标宋简体" w:hAnsi="Calibri" w:eastAsia="方正小标宋简体" w:cs="Calibri"/>
                <w:color w:val="000000"/>
                <w:kern w:val="0"/>
                <w:sz w:val="44"/>
                <w:szCs w:val="44"/>
                <w:lang w:val="en-US" w:eastAsia="zh-CN"/>
              </w:rPr>
              <w:t>2</w:t>
            </w:r>
            <w:r>
              <w:rPr>
                <w:rFonts w:hint="eastAsia" w:ascii="方正小标宋简体" w:hAnsi="Calibri" w:eastAsia="方正小标宋简体" w:cs="Calibri"/>
                <w:color w:val="000000"/>
                <w:kern w:val="0"/>
                <w:sz w:val="44"/>
                <w:szCs w:val="44"/>
              </w:rPr>
              <w:t>项）</w:t>
            </w:r>
          </w:p>
        </w:tc>
      </w:tr>
      <w:tr>
        <w:tblPrEx>
          <w:tblCellMar>
            <w:top w:w="0" w:type="dxa"/>
            <w:left w:w="0" w:type="dxa"/>
            <w:bottom w:w="0" w:type="dxa"/>
            <w:right w:w="0" w:type="dxa"/>
          </w:tblCellMar>
        </w:tblPrEx>
        <w:trPr>
          <w:trHeight w:val="364" w:hRule="atLeast"/>
        </w:trPr>
        <w:tc>
          <w:tcPr>
            <w:tcW w:w="649" w:type="dxa"/>
            <w:vMerge w:val="restart"/>
            <w:tcBorders>
              <w:top w:val="nil"/>
              <w:left w:val="single" w:color="000000" w:sz="4" w:space="0"/>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序号</w:t>
            </w:r>
          </w:p>
        </w:tc>
        <w:tc>
          <w:tcPr>
            <w:tcW w:w="1160" w:type="dxa"/>
            <w:vMerge w:val="restart"/>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hint="eastAsia" w:ascii="宋体" w:hAnsi="宋体" w:cs="Calibri"/>
                <w:color w:val="000000"/>
                <w:kern w:val="0"/>
                <w:sz w:val="21"/>
                <w:szCs w:val="21"/>
              </w:rPr>
            </w:pPr>
            <w:r>
              <w:rPr>
                <w:rFonts w:hint="eastAsia" w:ascii="宋体" w:hAnsi="宋体" w:cs="Calibri"/>
                <w:color w:val="000000"/>
                <w:kern w:val="0"/>
                <w:sz w:val="21"/>
                <w:szCs w:val="21"/>
              </w:rPr>
              <w:t>职权</w:t>
            </w:r>
          </w:p>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编码</w:t>
            </w:r>
          </w:p>
        </w:tc>
        <w:tc>
          <w:tcPr>
            <w:tcW w:w="1639" w:type="dxa"/>
            <w:gridSpan w:val="2"/>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职权名称</w:t>
            </w:r>
          </w:p>
        </w:tc>
        <w:tc>
          <w:tcPr>
            <w:tcW w:w="3243" w:type="dxa"/>
            <w:vMerge w:val="restart"/>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职权依据</w:t>
            </w:r>
          </w:p>
        </w:tc>
        <w:tc>
          <w:tcPr>
            <w:tcW w:w="4193" w:type="dxa"/>
            <w:vMerge w:val="restart"/>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责任事项</w:t>
            </w:r>
          </w:p>
        </w:tc>
        <w:tc>
          <w:tcPr>
            <w:tcW w:w="2312" w:type="dxa"/>
            <w:vMerge w:val="restart"/>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责任事项依据</w:t>
            </w:r>
          </w:p>
        </w:tc>
        <w:tc>
          <w:tcPr>
            <w:tcW w:w="804" w:type="dxa"/>
            <w:vMerge w:val="restart"/>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备注</w:t>
            </w:r>
          </w:p>
        </w:tc>
      </w:tr>
      <w:tr>
        <w:tblPrEx>
          <w:tblCellMar>
            <w:top w:w="0" w:type="dxa"/>
            <w:left w:w="0" w:type="dxa"/>
            <w:bottom w:w="0" w:type="dxa"/>
            <w:right w:w="0" w:type="dxa"/>
          </w:tblCellMar>
        </w:tblPrEx>
        <w:trPr>
          <w:trHeight w:val="373" w:hRule="atLeast"/>
        </w:trPr>
        <w:tc>
          <w:tcPr>
            <w:tcW w:w="649"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c>
          <w:tcPr>
            <w:tcW w:w="1160"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c>
          <w:tcPr>
            <w:tcW w:w="1110"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项目</w:t>
            </w:r>
          </w:p>
        </w:tc>
        <w:tc>
          <w:tcPr>
            <w:tcW w:w="529"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子项</w:t>
            </w:r>
          </w:p>
        </w:tc>
        <w:tc>
          <w:tcPr>
            <w:tcW w:w="3243"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c>
          <w:tcPr>
            <w:tcW w:w="4193"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c>
          <w:tcPr>
            <w:tcW w:w="2312"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c>
          <w:tcPr>
            <w:tcW w:w="804"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r>
      <w:tr>
        <w:tblPrEx>
          <w:tblCellMar>
            <w:top w:w="0" w:type="dxa"/>
            <w:left w:w="0" w:type="dxa"/>
            <w:bottom w:w="0" w:type="dxa"/>
            <w:right w:w="0" w:type="dxa"/>
          </w:tblCellMar>
        </w:tblPrEx>
        <w:trPr>
          <w:trHeight w:val="6141" w:hRule="atLeast"/>
        </w:trPr>
        <w:tc>
          <w:tcPr>
            <w:tcW w:w="649" w:type="dxa"/>
            <w:tcBorders>
              <w:top w:val="single" w:color="000000" w:sz="4" w:space="0"/>
              <w:left w:val="single" w:color="000000" w:sz="4" w:space="0"/>
              <w:bottom w:val="single" w:color="000000" w:sz="4" w:space="0"/>
              <w:right w:val="single" w:color="000000" w:sz="4" w:space="0"/>
            </w:tcBorders>
            <w:noWrap w:val="0"/>
            <w:tcMar>
              <w:top w:w="12" w:type="dxa"/>
              <w:left w:w="12" w:type="dxa"/>
              <w:bottom w:w="0" w:type="dxa"/>
              <w:right w:w="12" w:type="dxa"/>
            </w:tcMar>
            <w:vAlign w:val="center"/>
          </w:tcPr>
          <w:p>
            <w:pPr>
              <w:widowControl/>
              <w:spacing w:line="90" w:lineRule="atLeast"/>
              <w:jc w:val="center"/>
              <w:rPr>
                <w:rFonts w:hint="eastAsia" w:ascii="宋体" w:hAnsi="宋体" w:eastAsia="宋体" w:cs="Calibri"/>
                <w:color w:val="000000"/>
                <w:kern w:val="0"/>
                <w:sz w:val="20"/>
                <w:szCs w:val="20"/>
                <w:lang w:val="en-US" w:eastAsia="zh-CN"/>
              </w:rPr>
            </w:pPr>
            <w:r>
              <w:rPr>
                <w:rFonts w:hint="eastAsia" w:ascii="宋体" w:hAnsi="宋体" w:cs="Calibri"/>
                <w:color w:val="000000"/>
                <w:kern w:val="0"/>
                <w:sz w:val="20"/>
                <w:szCs w:val="20"/>
                <w:lang w:val="en-US" w:eastAsia="zh-CN"/>
              </w:rPr>
              <w:t>1</w:t>
            </w:r>
          </w:p>
        </w:tc>
        <w:tc>
          <w:tcPr>
            <w:tcW w:w="1160"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spacing w:line="90" w:lineRule="atLeast"/>
              <w:jc w:val="center"/>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0200-A-00200-140000</w:t>
            </w:r>
          </w:p>
        </w:tc>
        <w:tc>
          <w:tcPr>
            <w:tcW w:w="1110"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spacing w:line="90" w:lineRule="atLeast"/>
              <w:jc w:val="both"/>
              <w:rPr>
                <w:rFonts w:hint="eastAsia" w:ascii="仿宋" w:hAnsi="仿宋" w:eastAsia="仿宋" w:cs="仿宋"/>
                <w:color w:val="000000"/>
                <w:kern w:val="0"/>
                <w:sz w:val="24"/>
                <w:szCs w:val="24"/>
                <w:lang w:val="en-US" w:eastAsia="zh-CN"/>
              </w:rPr>
            </w:pPr>
            <w:r>
              <w:rPr>
                <w:rFonts w:hint="eastAsia" w:ascii="仿宋" w:hAnsi="仿宋" w:eastAsia="仿宋" w:cs="仿宋"/>
                <w:color w:val="auto"/>
                <w:kern w:val="0"/>
                <w:sz w:val="24"/>
                <w:szCs w:val="24"/>
                <w:lang w:val="en-US" w:eastAsia="zh-CN"/>
              </w:rPr>
              <w:t>企业、事业单位、社会团体等投资建设的固定资产投资项目核准</w:t>
            </w:r>
          </w:p>
        </w:tc>
        <w:tc>
          <w:tcPr>
            <w:tcW w:w="529"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spacing w:line="90" w:lineRule="atLeast"/>
              <w:jc w:val="both"/>
              <w:rPr>
                <w:rFonts w:hint="eastAsia" w:ascii="仿宋" w:hAnsi="仿宋" w:eastAsia="仿宋" w:cs="仿宋"/>
                <w:color w:val="000000"/>
                <w:kern w:val="0"/>
                <w:sz w:val="24"/>
                <w:szCs w:val="24"/>
                <w:lang w:val="en-US" w:eastAsia="zh-CN"/>
              </w:rPr>
            </w:pPr>
          </w:p>
        </w:tc>
        <w:tc>
          <w:tcPr>
            <w:tcW w:w="3243"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top"/>
          </w:tcPr>
          <w:p>
            <w:pPr>
              <w:widowControl/>
              <w:spacing w:line="90" w:lineRule="atLeast"/>
              <w:jc w:val="both"/>
              <w:rPr>
                <w:rFonts w:hint="eastAsia" w:ascii="仿宋" w:hAnsi="仿宋" w:eastAsia="仿宋" w:cs="仿宋"/>
                <w:color w:val="000000"/>
                <w:kern w:val="0"/>
                <w:sz w:val="24"/>
                <w:szCs w:val="24"/>
                <w:lang w:val="en-US" w:eastAsia="zh-CN"/>
              </w:rPr>
            </w:pPr>
          </w:p>
          <w:p>
            <w:pPr>
              <w:widowControl/>
              <w:spacing w:line="90" w:lineRule="atLeast"/>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【行政法规】</w:t>
            </w:r>
          </w:p>
          <w:p>
            <w:pPr>
              <w:widowControl/>
              <w:spacing w:line="90" w:lineRule="atLeast"/>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《国务院对确需保留的行政审批项目设定行政许可的决定》（国务院令第412号）</w:t>
            </w:r>
          </w:p>
          <w:p>
            <w:pPr>
              <w:widowControl/>
              <w:spacing w:line="90" w:lineRule="atLeast"/>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《企业投资项目核准和备案管理条例》（国务院令第673号） 第三条</w:t>
            </w:r>
          </w:p>
          <w:p>
            <w:pPr>
              <w:widowControl/>
              <w:spacing w:line="90" w:lineRule="atLeast"/>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【中共中央 国务院文件】</w:t>
            </w:r>
          </w:p>
          <w:p>
            <w:pPr>
              <w:widowControl/>
              <w:spacing w:line="90" w:lineRule="atLeast"/>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《国务院关于投资体制改革的决定》（国发[2004]20号）</w:t>
            </w:r>
          </w:p>
          <w:p>
            <w:pPr>
              <w:widowControl/>
              <w:spacing w:line="90" w:lineRule="atLeast"/>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《中共中央  国务院关于深化投融资体制改革的意见》（中发[2016]18号）</w:t>
            </w:r>
          </w:p>
          <w:p>
            <w:pPr>
              <w:widowControl/>
              <w:spacing w:line="90" w:lineRule="atLeast"/>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【部门规章】</w:t>
            </w:r>
          </w:p>
          <w:p>
            <w:pPr>
              <w:widowControl/>
              <w:spacing w:line="90" w:lineRule="atLeast"/>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《企业投资项目核准和备案管理办法》（国家发改委2017年2号令） 第三条  第四条  第七条</w:t>
            </w:r>
          </w:p>
          <w:p>
            <w:pPr>
              <w:widowControl/>
              <w:spacing w:line="90" w:lineRule="atLeast"/>
              <w:jc w:val="both"/>
              <w:rPr>
                <w:rFonts w:hint="eastAsia" w:ascii="仿宋" w:hAnsi="仿宋" w:eastAsia="仿宋" w:cs="仿宋"/>
                <w:color w:val="000000"/>
                <w:kern w:val="0"/>
                <w:sz w:val="24"/>
                <w:szCs w:val="24"/>
                <w:lang w:val="en-US" w:eastAsia="zh-CN"/>
              </w:rPr>
            </w:pPr>
          </w:p>
          <w:p>
            <w:pPr>
              <w:widowControl/>
              <w:spacing w:line="90" w:lineRule="atLeast"/>
              <w:jc w:val="both"/>
              <w:rPr>
                <w:rFonts w:hint="eastAsia" w:ascii="仿宋" w:hAnsi="仿宋" w:eastAsia="仿宋" w:cs="仿宋"/>
                <w:color w:val="000000"/>
                <w:kern w:val="0"/>
                <w:sz w:val="24"/>
                <w:szCs w:val="24"/>
                <w:lang w:val="en-US" w:eastAsia="zh-CN"/>
              </w:rPr>
            </w:pPr>
          </w:p>
        </w:tc>
        <w:tc>
          <w:tcPr>
            <w:tcW w:w="4193"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top"/>
          </w:tcPr>
          <w:p>
            <w:pPr>
              <w:widowControl/>
              <w:numPr>
                <w:ilvl w:val="0"/>
                <w:numId w:val="0"/>
              </w:numPr>
              <w:spacing w:line="90" w:lineRule="atLeast"/>
              <w:jc w:val="both"/>
              <w:rPr>
                <w:rFonts w:hint="eastAsia" w:ascii="仿宋" w:hAnsi="仿宋" w:eastAsia="仿宋" w:cs="仿宋"/>
                <w:color w:val="000000"/>
                <w:kern w:val="0"/>
                <w:sz w:val="24"/>
                <w:szCs w:val="24"/>
                <w:lang w:val="en-US" w:eastAsia="zh-CN"/>
              </w:rPr>
            </w:pPr>
          </w:p>
          <w:p>
            <w:pPr>
              <w:widowControl/>
              <w:numPr>
                <w:ilvl w:val="0"/>
                <w:numId w:val="0"/>
              </w:numPr>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1.受理责任：一次性告知补齐补正材料，依法受理或不受理 （不予受理应当告知理由）。</w:t>
            </w:r>
          </w:p>
          <w:p>
            <w:pPr>
              <w:widowControl/>
              <w:numPr>
                <w:ilvl w:val="0"/>
                <w:numId w:val="0"/>
              </w:numPr>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 xml:space="preserve">2.审查责任：进行审查后，提出办理意见（核准项目审查项目申请报告书、规划审查意见、用地预审意见、环境影响审批意见、节能审查意见、地市主管部门初审意见等文件；备案项目备案申请表、地市主管部门初审意见等文件）。 </w:t>
            </w:r>
          </w:p>
          <w:p>
            <w:pPr>
              <w:widowControl/>
              <w:numPr>
                <w:ilvl w:val="0"/>
                <w:numId w:val="0"/>
              </w:numPr>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3.决定责任：给予核准或者不予核准。（不予核准的应当告知理由）；按时办结；法定告知。</w:t>
            </w:r>
          </w:p>
          <w:p>
            <w:pPr>
              <w:widowControl/>
              <w:numPr>
                <w:ilvl w:val="0"/>
                <w:numId w:val="0"/>
              </w:numPr>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4.送达责任：制发文书，通知当事人，实行信息公开。</w:t>
            </w:r>
          </w:p>
          <w:p>
            <w:pPr>
              <w:widowControl/>
              <w:numPr>
                <w:ilvl w:val="0"/>
                <w:numId w:val="0"/>
              </w:numPr>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 xml:space="preserve">5.事后监管责任：加强日常监督检查，开展后续监督管理，进行实地检查等。 </w:t>
            </w:r>
          </w:p>
          <w:p>
            <w:pPr>
              <w:widowControl/>
              <w:numPr>
                <w:ilvl w:val="0"/>
                <w:numId w:val="0"/>
              </w:numPr>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 xml:space="preserve">6.其他：法律法规规章规定应履行的责任。 </w:t>
            </w:r>
          </w:p>
        </w:tc>
        <w:tc>
          <w:tcPr>
            <w:tcW w:w="2312"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top"/>
          </w:tcPr>
          <w:p>
            <w:pPr>
              <w:widowControl/>
              <w:spacing w:line="90" w:lineRule="atLeast"/>
              <w:jc w:val="both"/>
              <w:rPr>
                <w:rFonts w:hint="eastAsia" w:ascii="仿宋" w:hAnsi="仿宋" w:eastAsia="仿宋" w:cs="仿宋"/>
                <w:color w:val="000000"/>
                <w:kern w:val="0"/>
                <w:sz w:val="24"/>
                <w:szCs w:val="24"/>
                <w:lang w:val="en-US" w:eastAsia="zh-CN"/>
              </w:rPr>
            </w:pPr>
          </w:p>
          <w:p>
            <w:pPr>
              <w:widowControl/>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 xml:space="preserve">1、《行政许可法》:《行政许可法》第三十条 第三十四条 第三十七条～第三十九条 第六十条～第七十条 </w:t>
            </w:r>
            <w:r>
              <w:rPr>
                <w:rFonts w:hint="eastAsia" w:ascii="仿宋" w:hAnsi="仿宋" w:eastAsia="仿宋" w:cs="仿宋"/>
                <w:color w:val="000000"/>
                <w:kern w:val="0"/>
                <w:sz w:val="24"/>
                <w:szCs w:val="24"/>
                <w:lang w:val="en-US" w:eastAsia="zh-CN"/>
              </w:rPr>
              <w:br w:type="textWrapping"/>
            </w:r>
            <w:r>
              <w:rPr>
                <w:rFonts w:hint="eastAsia" w:ascii="仿宋" w:hAnsi="仿宋" w:eastAsia="仿宋" w:cs="仿宋"/>
                <w:color w:val="000000"/>
                <w:kern w:val="0"/>
                <w:sz w:val="24"/>
                <w:szCs w:val="24"/>
                <w:lang w:val="en-US" w:eastAsia="zh-CN"/>
              </w:rPr>
              <w:t xml:space="preserve"> 2、企业投资项目核准和备案管理条例:第九条～第十二条 第十六条 第十七条</w:t>
            </w:r>
            <w:r>
              <w:rPr>
                <w:rFonts w:hint="eastAsia" w:ascii="仿宋" w:hAnsi="仿宋" w:eastAsia="仿宋" w:cs="仿宋"/>
                <w:color w:val="000000"/>
                <w:kern w:val="0"/>
                <w:sz w:val="24"/>
                <w:szCs w:val="24"/>
                <w:lang w:val="en-US" w:eastAsia="zh-CN"/>
              </w:rPr>
              <w:br w:type="textWrapping"/>
            </w:r>
            <w:r>
              <w:rPr>
                <w:rFonts w:hint="eastAsia" w:ascii="仿宋" w:hAnsi="仿宋" w:eastAsia="仿宋" w:cs="仿宋"/>
                <w:color w:val="000000"/>
                <w:kern w:val="0"/>
                <w:sz w:val="24"/>
                <w:szCs w:val="24"/>
                <w:lang w:val="en-US" w:eastAsia="zh-CN"/>
              </w:rPr>
              <w:t xml:space="preserve"> 3、企业投资项目核准和备案管理办法:第十二条 第十四条 第二十五条～第三十二条 第四十六条</w:t>
            </w:r>
          </w:p>
        </w:tc>
        <w:tc>
          <w:tcPr>
            <w:tcW w:w="804"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top"/>
          </w:tcPr>
          <w:p>
            <w:pPr>
              <w:widowControl/>
              <w:spacing w:line="90" w:lineRule="atLeast"/>
              <w:jc w:val="both"/>
              <w:rPr>
                <w:rFonts w:hint="eastAsia" w:ascii="仿宋" w:hAnsi="仿宋" w:eastAsia="仿宋" w:cs="仿宋"/>
                <w:color w:val="000000"/>
                <w:kern w:val="0"/>
                <w:sz w:val="21"/>
                <w:szCs w:val="21"/>
                <w:lang w:val="en-US" w:eastAsia="zh-CN"/>
              </w:rPr>
            </w:pPr>
          </w:p>
        </w:tc>
      </w:tr>
      <w:tr>
        <w:tblPrEx>
          <w:tblCellMar>
            <w:top w:w="0" w:type="dxa"/>
            <w:left w:w="0" w:type="dxa"/>
            <w:bottom w:w="0" w:type="dxa"/>
            <w:right w:w="0" w:type="dxa"/>
          </w:tblCellMar>
        </w:tblPrEx>
        <w:trPr>
          <w:trHeight w:val="694" w:hRule="atLeast"/>
        </w:trPr>
        <w:tc>
          <w:tcPr>
            <w:tcW w:w="14000" w:type="dxa"/>
            <w:gridSpan w:val="8"/>
            <w:tcBorders>
              <w:top w:val="nil"/>
              <w:left w:val="nil"/>
              <w:bottom w:val="single" w:color="000000" w:sz="4" w:space="0"/>
              <w:right w:val="nil"/>
            </w:tcBorders>
            <w:noWrap w:val="0"/>
            <w:tcMar>
              <w:top w:w="12" w:type="dxa"/>
              <w:left w:w="12" w:type="dxa"/>
              <w:bottom w:w="0" w:type="dxa"/>
              <w:right w:w="12" w:type="dxa"/>
            </w:tcMar>
            <w:vAlign w:val="center"/>
          </w:tcPr>
          <w:p>
            <w:pPr>
              <w:widowControl/>
              <w:jc w:val="center"/>
              <w:rPr>
                <w:rFonts w:ascii="方正小标宋简体" w:hAnsi="Calibri" w:eastAsia="方正小标宋简体" w:cs="Calibri"/>
                <w:color w:val="000000"/>
                <w:kern w:val="0"/>
                <w:sz w:val="44"/>
                <w:szCs w:val="44"/>
              </w:rPr>
            </w:pPr>
            <w:r>
              <w:rPr>
                <w:rFonts w:hint="eastAsia" w:ascii="方正小标宋简体" w:hAnsi="Calibri" w:eastAsia="方正小标宋简体" w:cs="Calibri"/>
                <w:color w:val="000000"/>
                <w:kern w:val="0"/>
                <w:sz w:val="44"/>
                <w:szCs w:val="44"/>
              </w:rPr>
              <w:t>（一）</w:t>
            </w:r>
            <w:r>
              <w:rPr>
                <w:rFonts w:hint="eastAsia" w:ascii="方正小标宋简体" w:hAnsi="Calibri" w:eastAsia="方正小标宋简体" w:cs="Calibri"/>
                <w:color w:val="000000"/>
                <w:kern w:val="0"/>
                <w:sz w:val="44"/>
                <w:szCs w:val="44"/>
                <w:lang w:eastAsia="zh-CN"/>
              </w:rPr>
              <w:t>行政许可</w:t>
            </w:r>
            <w:r>
              <w:rPr>
                <w:rFonts w:hint="eastAsia" w:ascii="方正小标宋简体" w:hAnsi="Calibri" w:eastAsia="方正小标宋简体" w:cs="Calibri"/>
                <w:color w:val="000000"/>
                <w:kern w:val="0"/>
                <w:sz w:val="44"/>
                <w:szCs w:val="44"/>
              </w:rPr>
              <w:t>类（共</w:t>
            </w:r>
            <w:r>
              <w:rPr>
                <w:rFonts w:hint="eastAsia" w:ascii="方正小标宋简体" w:hAnsi="Calibri" w:eastAsia="方正小标宋简体" w:cs="Calibri"/>
                <w:color w:val="000000"/>
                <w:kern w:val="0"/>
                <w:sz w:val="44"/>
                <w:szCs w:val="44"/>
                <w:lang w:val="en-US" w:eastAsia="zh-CN"/>
              </w:rPr>
              <w:t>2</w:t>
            </w:r>
            <w:r>
              <w:rPr>
                <w:rFonts w:hint="eastAsia" w:ascii="方正小标宋简体" w:hAnsi="Calibri" w:eastAsia="方正小标宋简体" w:cs="Calibri"/>
                <w:color w:val="000000"/>
                <w:kern w:val="0"/>
                <w:sz w:val="44"/>
                <w:szCs w:val="44"/>
              </w:rPr>
              <w:t>项）</w:t>
            </w:r>
          </w:p>
        </w:tc>
      </w:tr>
      <w:tr>
        <w:tblPrEx>
          <w:tblCellMar>
            <w:top w:w="0" w:type="dxa"/>
            <w:left w:w="0" w:type="dxa"/>
            <w:bottom w:w="0" w:type="dxa"/>
            <w:right w:w="0" w:type="dxa"/>
          </w:tblCellMar>
        </w:tblPrEx>
        <w:trPr>
          <w:trHeight w:val="364" w:hRule="atLeast"/>
        </w:trPr>
        <w:tc>
          <w:tcPr>
            <w:tcW w:w="649" w:type="dxa"/>
            <w:vMerge w:val="restart"/>
            <w:tcBorders>
              <w:top w:val="nil"/>
              <w:left w:val="single" w:color="000000" w:sz="4" w:space="0"/>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序号</w:t>
            </w:r>
          </w:p>
        </w:tc>
        <w:tc>
          <w:tcPr>
            <w:tcW w:w="1160" w:type="dxa"/>
            <w:vMerge w:val="restart"/>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hint="eastAsia" w:ascii="宋体" w:hAnsi="宋体" w:cs="Calibri"/>
                <w:color w:val="000000"/>
                <w:kern w:val="0"/>
                <w:sz w:val="21"/>
                <w:szCs w:val="21"/>
              </w:rPr>
            </w:pPr>
            <w:r>
              <w:rPr>
                <w:rFonts w:hint="eastAsia" w:ascii="宋体" w:hAnsi="宋体" w:cs="Calibri"/>
                <w:color w:val="000000"/>
                <w:kern w:val="0"/>
                <w:sz w:val="21"/>
                <w:szCs w:val="21"/>
              </w:rPr>
              <w:t>职权</w:t>
            </w:r>
          </w:p>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编码</w:t>
            </w:r>
          </w:p>
        </w:tc>
        <w:tc>
          <w:tcPr>
            <w:tcW w:w="1639" w:type="dxa"/>
            <w:gridSpan w:val="2"/>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职权名称</w:t>
            </w:r>
          </w:p>
        </w:tc>
        <w:tc>
          <w:tcPr>
            <w:tcW w:w="3243" w:type="dxa"/>
            <w:vMerge w:val="restart"/>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职权依据</w:t>
            </w:r>
          </w:p>
        </w:tc>
        <w:tc>
          <w:tcPr>
            <w:tcW w:w="4193" w:type="dxa"/>
            <w:vMerge w:val="restart"/>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责任事项</w:t>
            </w:r>
          </w:p>
        </w:tc>
        <w:tc>
          <w:tcPr>
            <w:tcW w:w="2312" w:type="dxa"/>
            <w:vMerge w:val="restart"/>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责任事项依据</w:t>
            </w:r>
          </w:p>
        </w:tc>
        <w:tc>
          <w:tcPr>
            <w:tcW w:w="804" w:type="dxa"/>
            <w:vMerge w:val="restart"/>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备注</w:t>
            </w:r>
          </w:p>
        </w:tc>
      </w:tr>
      <w:tr>
        <w:tblPrEx>
          <w:tblCellMar>
            <w:top w:w="0" w:type="dxa"/>
            <w:left w:w="0" w:type="dxa"/>
            <w:bottom w:w="0" w:type="dxa"/>
            <w:right w:w="0" w:type="dxa"/>
          </w:tblCellMar>
        </w:tblPrEx>
        <w:trPr>
          <w:trHeight w:val="373" w:hRule="atLeast"/>
        </w:trPr>
        <w:tc>
          <w:tcPr>
            <w:tcW w:w="649"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c>
          <w:tcPr>
            <w:tcW w:w="1160"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c>
          <w:tcPr>
            <w:tcW w:w="1110"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项目</w:t>
            </w:r>
          </w:p>
        </w:tc>
        <w:tc>
          <w:tcPr>
            <w:tcW w:w="529"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子项</w:t>
            </w:r>
          </w:p>
        </w:tc>
        <w:tc>
          <w:tcPr>
            <w:tcW w:w="3243"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c>
          <w:tcPr>
            <w:tcW w:w="4193"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c>
          <w:tcPr>
            <w:tcW w:w="2312"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c>
          <w:tcPr>
            <w:tcW w:w="804"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r>
      <w:tr>
        <w:tblPrEx>
          <w:tblCellMar>
            <w:top w:w="0" w:type="dxa"/>
            <w:left w:w="0" w:type="dxa"/>
            <w:bottom w:w="0" w:type="dxa"/>
            <w:right w:w="0" w:type="dxa"/>
          </w:tblCellMar>
        </w:tblPrEx>
        <w:trPr>
          <w:trHeight w:val="6724" w:hRule="atLeast"/>
        </w:trPr>
        <w:tc>
          <w:tcPr>
            <w:tcW w:w="649" w:type="dxa"/>
            <w:tcBorders>
              <w:top w:val="single" w:color="000000" w:sz="4" w:space="0"/>
              <w:left w:val="single" w:color="000000" w:sz="4" w:space="0"/>
              <w:bottom w:val="single" w:color="000000" w:sz="4" w:space="0"/>
              <w:right w:val="single" w:color="000000" w:sz="4" w:space="0"/>
            </w:tcBorders>
            <w:noWrap w:val="0"/>
            <w:tcMar>
              <w:top w:w="12" w:type="dxa"/>
              <w:left w:w="12" w:type="dxa"/>
              <w:bottom w:w="0" w:type="dxa"/>
              <w:right w:w="12" w:type="dxa"/>
            </w:tcMar>
            <w:vAlign w:val="center"/>
          </w:tcPr>
          <w:p>
            <w:pPr>
              <w:widowControl/>
              <w:spacing w:line="90" w:lineRule="atLeast"/>
              <w:jc w:val="center"/>
              <w:rPr>
                <w:rFonts w:hint="eastAsia" w:ascii="宋体" w:hAnsi="宋体" w:eastAsia="宋体" w:cs="Calibri"/>
                <w:color w:val="000000"/>
                <w:kern w:val="0"/>
                <w:sz w:val="20"/>
                <w:szCs w:val="20"/>
                <w:lang w:val="en-US" w:eastAsia="zh-CN"/>
              </w:rPr>
            </w:pPr>
            <w:r>
              <w:rPr>
                <w:rFonts w:hint="eastAsia" w:ascii="仿宋" w:hAnsi="仿宋" w:eastAsia="仿宋" w:cs="仿宋"/>
                <w:color w:val="000000"/>
                <w:kern w:val="0"/>
                <w:sz w:val="24"/>
                <w:szCs w:val="24"/>
                <w:lang w:val="en-US" w:eastAsia="zh-CN"/>
              </w:rPr>
              <w:t>2</w:t>
            </w:r>
          </w:p>
        </w:tc>
        <w:tc>
          <w:tcPr>
            <w:tcW w:w="1160"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spacing w:line="90" w:lineRule="atLeast"/>
              <w:jc w:val="center"/>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4"/>
                <w:szCs w:val="24"/>
                <w:lang w:val="en-US" w:eastAsia="zh-CN"/>
              </w:rPr>
              <w:t>0200-A-00100-140000</w:t>
            </w:r>
          </w:p>
        </w:tc>
        <w:tc>
          <w:tcPr>
            <w:tcW w:w="1110"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spacing w:line="90" w:lineRule="atLeast"/>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招标方案</w:t>
            </w:r>
          </w:p>
          <w:p>
            <w:pPr>
              <w:widowControl/>
              <w:spacing w:line="90" w:lineRule="atLeast"/>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核准</w:t>
            </w:r>
          </w:p>
        </w:tc>
        <w:tc>
          <w:tcPr>
            <w:tcW w:w="529"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spacing w:line="90" w:lineRule="atLeast"/>
              <w:jc w:val="both"/>
              <w:rPr>
                <w:rFonts w:hint="eastAsia" w:ascii="仿宋" w:hAnsi="仿宋" w:eastAsia="仿宋" w:cs="仿宋"/>
                <w:color w:val="000000"/>
                <w:kern w:val="0"/>
                <w:sz w:val="24"/>
                <w:szCs w:val="24"/>
                <w:lang w:val="en-US" w:eastAsia="zh-CN"/>
              </w:rPr>
            </w:pPr>
          </w:p>
        </w:tc>
        <w:tc>
          <w:tcPr>
            <w:tcW w:w="3243"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spacing w:line="90" w:lineRule="atLeast"/>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【行政法规】</w:t>
            </w:r>
          </w:p>
          <w:p>
            <w:pPr>
              <w:widowControl/>
              <w:spacing w:line="90" w:lineRule="atLeast"/>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《中华人民共和国招标投标法实施条例》（国务院令第613号）第七条</w:t>
            </w:r>
          </w:p>
          <w:p>
            <w:pPr>
              <w:widowControl/>
              <w:spacing w:line="90" w:lineRule="atLeast"/>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【部门规章】</w:t>
            </w:r>
          </w:p>
          <w:p>
            <w:pPr>
              <w:widowControl/>
              <w:spacing w:line="90" w:lineRule="atLeast"/>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《必须招标的工程项目规定》（2018年国家发改委令第16号）第四条</w:t>
            </w:r>
          </w:p>
        </w:tc>
        <w:tc>
          <w:tcPr>
            <w:tcW w:w="4193"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 xml:space="preserve">1.受理责任：一次性告知补齐补正材料，依法受理或不受理 （不予受理应当告知理由）。 </w:t>
            </w:r>
          </w:p>
          <w:p>
            <w:pPr>
              <w:widowControl/>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2.审查责任：进行审查后，提出办理意见 （山西省技术改造项目招标方案和不招标申请表以及其他相关事项说明材料）。</w:t>
            </w:r>
          </w:p>
          <w:p>
            <w:pPr>
              <w:widowControl/>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3.决定责任：给予核准或者不予核准。（不予核准的应当告知理由）；按时办结；法定告知。</w:t>
            </w:r>
          </w:p>
          <w:p>
            <w:pPr>
              <w:widowControl/>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 xml:space="preserve">4.送达责任：制发文书，通知当事人，实行信息公开。 </w:t>
            </w:r>
          </w:p>
          <w:p>
            <w:pPr>
              <w:widowControl/>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 xml:space="preserve">5.事后监管责任：对招标投标活动实施监督，依法查处招标投标活动中的违法行为。 </w:t>
            </w:r>
          </w:p>
          <w:p>
            <w:pPr>
              <w:widowControl/>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 xml:space="preserve">6.其他：法律法规规章规定应履行的责任。 </w:t>
            </w:r>
          </w:p>
        </w:tc>
        <w:tc>
          <w:tcPr>
            <w:tcW w:w="2312"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spacing w:line="90" w:lineRule="atLeast"/>
              <w:jc w:val="both"/>
              <w:rPr>
                <w:rFonts w:hint="eastAsia" w:ascii="仿宋" w:hAnsi="仿宋" w:eastAsia="仿宋" w:cs="仿宋"/>
                <w:color w:val="000000"/>
                <w:kern w:val="0"/>
                <w:sz w:val="24"/>
                <w:szCs w:val="24"/>
                <w:lang w:val="en-US" w:eastAsia="zh-CN"/>
              </w:rPr>
            </w:pPr>
          </w:p>
          <w:p>
            <w:pPr>
              <w:widowControl/>
              <w:spacing w:line="90" w:lineRule="atLeast"/>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 xml:space="preserve">《行政许可法》 第三十条 第三十四条 第三十七条～第三十九条 第六十条～第七十条 </w:t>
            </w:r>
          </w:p>
        </w:tc>
        <w:tc>
          <w:tcPr>
            <w:tcW w:w="804"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top"/>
          </w:tcPr>
          <w:p>
            <w:pPr>
              <w:widowControl/>
              <w:spacing w:line="90" w:lineRule="atLeast"/>
              <w:jc w:val="both"/>
              <w:rPr>
                <w:rFonts w:hint="eastAsia" w:ascii="仿宋" w:hAnsi="仿宋" w:eastAsia="仿宋" w:cs="仿宋"/>
                <w:color w:val="000000"/>
                <w:kern w:val="0"/>
                <w:sz w:val="21"/>
                <w:szCs w:val="21"/>
                <w:lang w:val="en-US" w:eastAsia="zh-CN"/>
              </w:rPr>
            </w:pPr>
          </w:p>
        </w:tc>
      </w:tr>
    </w:tbl>
    <w:p/>
    <w:p/>
    <w:p/>
    <w:tbl>
      <w:tblPr>
        <w:tblStyle w:val="4"/>
        <w:tblpPr w:leftFromText="748" w:rightFromText="748" w:vertAnchor="page" w:horzAnchor="page" w:tblpX="1562" w:tblpY="2203"/>
        <w:tblOverlap w:val="never"/>
        <w:tblW w:w="14000" w:type="dxa"/>
        <w:tblInd w:w="0" w:type="dxa"/>
        <w:tblLayout w:type="fixed"/>
        <w:tblCellMar>
          <w:top w:w="0" w:type="dxa"/>
          <w:left w:w="0" w:type="dxa"/>
          <w:bottom w:w="0" w:type="dxa"/>
          <w:right w:w="0" w:type="dxa"/>
        </w:tblCellMar>
      </w:tblPr>
      <w:tblGrid>
        <w:gridCol w:w="649"/>
        <w:gridCol w:w="1160"/>
        <w:gridCol w:w="1110"/>
        <w:gridCol w:w="529"/>
        <w:gridCol w:w="3455"/>
        <w:gridCol w:w="3981"/>
        <w:gridCol w:w="2312"/>
        <w:gridCol w:w="804"/>
      </w:tblGrid>
      <w:tr>
        <w:tblPrEx>
          <w:tblCellMar>
            <w:top w:w="0" w:type="dxa"/>
            <w:left w:w="0" w:type="dxa"/>
            <w:bottom w:w="0" w:type="dxa"/>
            <w:right w:w="0" w:type="dxa"/>
          </w:tblCellMar>
        </w:tblPrEx>
        <w:trPr>
          <w:trHeight w:val="694" w:hRule="atLeast"/>
        </w:trPr>
        <w:tc>
          <w:tcPr>
            <w:tcW w:w="14000" w:type="dxa"/>
            <w:gridSpan w:val="8"/>
            <w:tcBorders>
              <w:top w:val="nil"/>
              <w:left w:val="nil"/>
              <w:bottom w:val="single" w:color="000000" w:sz="4" w:space="0"/>
              <w:right w:val="nil"/>
            </w:tcBorders>
            <w:noWrap w:val="0"/>
            <w:tcMar>
              <w:top w:w="12" w:type="dxa"/>
              <w:left w:w="12" w:type="dxa"/>
              <w:bottom w:w="0" w:type="dxa"/>
              <w:right w:w="12" w:type="dxa"/>
            </w:tcMar>
            <w:vAlign w:val="center"/>
          </w:tcPr>
          <w:p>
            <w:pPr>
              <w:jc w:val="center"/>
              <w:rPr>
                <w:rFonts w:ascii="方正小标宋简体" w:hAnsi="Calibri" w:eastAsia="方正小标宋简体" w:cs="Calibri"/>
                <w:color w:val="000000"/>
                <w:kern w:val="0"/>
                <w:sz w:val="44"/>
                <w:szCs w:val="44"/>
              </w:rPr>
            </w:pPr>
            <w:r>
              <w:rPr>
                <w:rFonts w:hint="eastAsia" w:ascii="方正小标宋简体" w:hAnsi="Calibri" w:eastAsia="方正小标宋简体" w:cs="Calibri"/>
                <w:color w:val="000000"/>
                <w:kern w:val="0"/>
                <w:sz w:val="44"/>
                <w:szCs w:val="44"/>
              </w:rPr>
              <w:t>（</w:t>
            </w:r>
            <w:r>
              <w:rPr>
                <w:rFonts w:hint="eastAsia" w:ascii="方正小标宋简体" w:hAnsi="Calibri" w:eastAsia="方正小标宋简体" w:cs="Calibri"/>
                <w:color w:val="000000"/>
                <w:kern w:val="0"/>
                <w:sz w:val="44"/>
                <w:szCs w:val="44"/>
                <w:lang w:eastAsia="zh-CN"/>
              </w:rPr>
              <w:t>二</w:t>
            </w:r>
            <w:r>
              <w:rPr>
                <w:rFonts w:hint="eastAsia" w:ascii="方正小标宋简体" w:hAnsi="Calibri" w:eastAsia="方正小标宋简体" w:cs="Calibri"/>
                <w:color w:val="000000"/>
                <w:kern w:val="0"/>
                <w:sz w:val="44"/>
                <w:szCs w:val="44"/>
              </w:rPr>
              <w:t>）</w:t>
            </w:r>
            <w:r>
              <w:rPr>
                <w:rFonts w:hint="eastAsia" w:ascii="方正小标宋简体" w:hAnsi="Calibri" w:eastAsia="方正小标宋简体" w:cs="Calibri"/>
                <w:color w:val="000000"/>
                <w:kern w:val="0"/>
                <w:sz w:val="44"/>
                <w:szCs w:val="44"/>
                <w:lang w:eastAsia="zh-CN"/>
              </w:rPr>
              <w:t>其他行政权力</w:t>
            </w:r>
            <w:r>
              <w:rPr>
                <w:rFonts w:hint="eastAsia" w:ascii="方正小标宋简体" w:hAnsi="Calibri" w:eastAsia="方正小标宋简体" w:cs="Calibri"/>
                <w:color w:val="000000"/>
                <w:kern w:val="0"/>
                <w:sz w:val="44"/>
                <w:szCs w:val="44"/>
              </w:rPr>
              <w:t>类（共</w:t>
            </w:r>
            <w:r>
              <w:rPr>
                <w:rFonts w:hint="eastAsia" w:ascii="方正小标宋简体" w:hAnsi="Calibri" w:eastAsia="方正小标宋简体" w:cs="Calibri"/>
                <w:color w:val="000000"/>
                <w:kern w:val="0"/>
                <w:sz w:val="44"/>
                <w:szCs w:val="44"/>
                <w:lang w:val="en-US" w:eastAsia="zh-CN"/>
              </w:rPr>
              <w:t>1</w:t>
            </w:r>
            <w:r>
              <w:rPr>
                <w:rFonts w:hint="eastAsia" w:ascii="方正小标宋简体" w:hAnsi="Calibri" w:eastAsia="方正小标宋简体" w:cs="Calibri"/>
                <w:color w:val="000000"/>
                <w:kern w:val="0"/>
                <w:sz w:val="44"/>
                <w:szCs w:val="44"/>
              </w:rPr>
              <w:t>项）</w:t>
            </w:r>
          </w:p>
        </w:tc>
      </w:tr>
      <w:tr>
        <w:tblPrEx>
          <w:tblCellMar>
            <w:top w:w="0" w:type="dxa"/>
            <w:left w:w="0" w:type="dxa"/>
            <w:bottom w:w="0" w:type="dxa"/>
            <w:right w:w="0" w:type="dxa"/>
          </w:tblCellMar>
        </w:tblPrEx>
        <w:trPr>
          <w:trHeight w:val="364" w:hRule="atLeast"/>
        </w:trPr>
        <w:tc>
          <w:tcPr>
            <w:tcW w:w="649" w:type="dxa"/>
            <w:vMerge w:val="restart"/>
            <w:tcBorders>
              <w:top w:val="nil"/>
              <w:left w:val="single" w:color="000000" w:sz="4" w:space="0"/>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序号</w:t>
            </w:r>
          </w:p>
        </w:tc>
        <w:tc>
          <w:tcPr>
            <w:tcW w:w="1160" w:type="dxa"/>
            <w:vMerge w:val="restart"/>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hint="eastAsia" w:ascii="宋体" w:hAnsi="宋体" w:cs="Calibri"/>
                <w:color w:val="000000"/>
                <w:kern w:val="0"/>
                <w:sz w:val="21"/>
                <w:szCs w:val="21"/>
              </w:rPr>
            </w:pPr>
            <w:r>
              <w:rPr>
                <w:rFonts w:hint="eastAsia" w:ascii="宋体" w:hAnsi="宋体" w:cs="Calibri"/>
                <w:color w:val="000000"/>
                <w:kern w:val="0"/>
                <w:sz w:val="21"/>
                <w:szCs w:val="21"/>
              </w:rPr>
              <w:t>职权</w:t>
            </w:r>
          </w:p>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编码</w:t>
            </w:r>
          </w:p>
        </w:tc>
        <w:tc>
          <w:tcPr>
            <w:tcW w:w="1639" w:type="dxa"/>
            <w:gridSpan w:val="2"/>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职权名称</w:t>
            </w:r>
          </w:p>
        </w:tc>
        <w:tc>
          <w:tcPr>
            <w:tcW w:w="3455" w:type="dxa"/>
            <w:vMerge w:val="restart"/>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职权依据</w:t>
            </w:r>
          </w:p>
        </w:tc>
        <w:tc>
          <w:tcPr>
            <w:tcW w:w="3981" w:type="dxa"/>
            <w:vMerge w:val="restart"/>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责任事项</w:t>
            </w:r>
          </w:p>
        </w:tc>
        <w:tc>
          <w:tcPr>
            <w:tcW w:w="2312" w:type="dxa"/>
            <w:vMerge w:val="restart"/>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责任事项依据</w:t>
            </w:r>
          </w:p>
        </w:tc>
        <w:tc>
          <w:tcPr>
            <w:tcW w:w="804" w:type="dxa"/>
            <w:vMerge w:val="restart"/>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备注</w:t>
            </w:r>
          </w:p>
        </w:tc>
      </w:tr>
      <w:tr>
        <w:tblPrEx>
          <w:tblCellMar>
            <w:top w:w="0" w:type="dxa"/>
            <w:left w:w="0" w:type="dxa"/>
            <w:bottom w:w="0" w:type="dxa"/>
            <w:right w:w="0" w:type="dxa"/>
          </w:tblCellMar>
        </w:tblPrEx>
        <w:trPr>
          <w:trHeight w:val="373" w:hRule="atLeast"/>
        </w:trPr>
        <w:tc>
          <w:tcPr>
            <w:tcW w:w="649"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c>
          <w:tcPr>
            <w:tcW w:w="1160"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c>
          <w:tcPr>
            <w:tcW w:w="1110"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项目</w:t>
            </w:r>
          </w:p>
        </w:tc>
        <w:tc>
          <w:tcPr>
            <w:tcW w:w="529"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jc w:val="center"/>
              <w:rPr>
                <w:rFonts w:ascii="宋体" w:hAnsi="宋体" w:cs="Calibri"/>
                <w:color w:val="000000"/>
                <w:kern w:val="0"/>
                <w:sz w:val="21"/>
                <w:szCs w:val="21"/>
              </w:rPr>
            </w:pPr>
            <w:r>
              <w:rPr>
                <w:rFonts w:hint="eastAsia" w:ascii="宋体" w:hAnsi="宋体" w:cs="Calibri"/>
                <w:color w:val="000000"/>
                <w:kern w:val="0"/>
                <w:sz w:val="21"/>
                <w:szCs w:val="21"/>
              </w:rPr>
              <w:t>子项</w:t>
            </w:r>
          </w:p>
        </w:tc>
        <w:tc>
          <w:tcPr>
            <w:tcW w:w="3455"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c>
          <w:tcPr>
            <w:tcW w:w="3981"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c>
          <w:tcPr>
            <w:tcW w:w="2312"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c>
          <w:tcPr>
            <w:tcW w:w="804"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cs="Calibri"/>
                <w:color w:val="000000"/>
                <w:kern w:val="0"/>
                <w:sz w:val="21"/>
                <w:szCs w:val="21"/>
              </w:rPr>
            </w:pPr>
          </w:p>
        </w:tc>
      </w:tr>
      <w:tr>
        <w:tblPrEx>
          <w:tblCellMar>
            <w:top w:w="0" w:type="dxa"/>
            <w:left w:w="0" w:type="dxa"/>
            <w:bottom w:w="0" w:type="dxa"/>
            <w:right w:w="0" w:type="dxa"/>
          </w:tblCellMar>
        </w:tblPrEx>
        <w:trPr>
          <w:trHeight w:val="5788" w:hRule="atLeast"/>
        </w:trPr>
        <w:tc>
          <w:tcPr>
            <w:tcW w:w="649" w:type="dxa"/>
            <w:tcBorders>
              <w:top w:val="single" w:color="000000" w:sz="4" w:space="0"/>
              <w:left w:val="single" w:color="000000" w:sz="4" w:space="0"/>
              <w:bottom w:val="single" w:color="000000" w:sz="4" w:space="0"/>
              <w:right w:val="single" w:color="000000" w:sz="4" w:space="0"/>
            </w:tcBorders>
            <w:noWrap w:val="0"/>
            <w:tcMar>
              <w:top w:w="12" w:type="dxa"/>
              <w:left w:w="12" w:type="dxa"/>
              <w:bottom w:w="0" w:type="dxa"/>
              <w:right w:w="12" w:type="dxa"/>
            </w:tcMar>
            <w:vAlign w:val="center"/>
          </w:tcPr>
          <w:p>
            <w:pPr>
              <w:widowControl/>
              <w:spacing w:line="90" w:lineRule="atLeast"/>
              <w:jc w:val="center"/>
              <w:rPr>
                <w:rFonts w:hint="eastAsia" w:ascii="宋体" w:hAnsi="宋体" w:eastAsia="宋体" w:cs="Calibri"/>
                <w:color w:val="000000"/>
                <w:kern w:val="0"/>
                <w:sz w:val="20"/>
                <w:szCs w:val="20"/>
                <w:lang w:val="en-US" w:eastAsia="zh-CN"/>
              </w:rPr>
            </w:pPr>
            <w:r>
              <w:rPr>
                <w:rFonts w:hint="eastAsia" w:ascii="宋体" w:hAnsi="宋体" w:cs="Calibri"/>
                <w:color w:val="000000"/>
                <w:kern w:val="0"/>
                <w:sz w:val="20"/>
                <w:szCs w:val="20"/>
                <w:lang w:val="en-US" w:eastAsia="zh-CN"/>
              </w:rPr>
              <w:t>1</w:t>
            </w:r>
          </w:p>
        </w:tc>
        <w:tc>
          <w:tcPr>
            <w:tcW w:w="1160"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spacing w:line="90" w:lineRule="atLeast"/>
              <w:jc w:val="center"/>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0100-Z-01600-140000</w:t>
            </w:r>
          </w:p>
        </w:tc>
        <w:tc>
          <w:tcPr>
            <w:tcW w:w="1110"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keepNext w:val="0"/>
              <w:keepLines w:val="0"/>
              <w:widowControl/>
              <w:suppressLineNumbers w:val="0"/>
              <w:jc w:val="center"/>
              <w:textAlignment w:val="center"/>
              <w:rPr>
                <w:rFonts w:hint="eastAsia" w:ascii="仿宋" w:hAnsi="仿宋" w:eastAsia="仿宋" w:cs="仿宋"/>
                <w:color w:val="000000"/>
                <w:kern w:val="0"/>
                <w:sz w:val="24"/>
                <w:szCs w:val="24"/>
                <w:lang w:val="en-US" w:eastAsia="zh-CN"/>
              </w:rPr>
            </w:pPr>
            <w:r>
              <w:rPr>
                <w:rFonts w:hint="eastAsia" w:ascii="宋体" w:hAnsi="宋体" w:eastAsia="宋体" w:cs="宋体"/>
                <w:i w:val="0"/>
                <w:color w:val="000000"/>
                <w:kern w:val="0"/>
                <w:sz w:val="23"/>
                <w:szCs w:val="23"/>
                <w:u w:val="none"/>
                <w:lang w:val="en-US" w:eastAsia="zh-CN" w:bidi="ar"/>
              </w:rPr>
              <w:t>企业、事业单位、社会团体等投资建设的固定资产投资项目备案</w:t>
            </w:r>
          </w:p>
        </w:tc>
        <w:tc>
          <w:tcPr>
            <w:tcW w:w="529"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spacing w:line="90" w:lineRule="atLeast"/>
              <w:jc w:val="both"/>
              <w:rPr>
                <w:rFonts w:hint="eastAsia" w:ascii="仿宋" w:hAnsi="仿宋" w:eastAsia="仿宋" w:cs="仿宋"/>
                <w:color w:val="000000"/>
                <w:kern w:val="0"/>
                <w:sz w:val="24"/>
                <w:szCs w:val="24"/>
                <w:lang w:val="en-US" w:eastAsia="zh-CN"/>
              </w:rPr>
            </w:pPr>
          </w:p>
        </w:tc>
        <w:tc>
          <w:tcPr>
            <w:tcW w:w="3455"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【行政法规】</w:t>
            </w:r>
          </w:p>
          <w:p>
            <w:pPr>
              <w:widowControl/>
              <w:numPr>
                <w:ilvl w:val="0"/>
                <w:numId w:val="0"/>
              </w:numPr>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 xml:space="preserve">《企业投资项目核准和备案管理条例》（国务院令第673号） 第十三条 第十四条  第十五条 </w:t>
            </w:r>
          </w:p>
          <w:p>
            <w:pPr>
              <w:widowControl/>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【部门规章】</w:t>
            </w:r>
          </w:p>
          <w:p>
            <w:pPr>
              <w:widowControl/>
              <w:numPr>
                <w:ilvl w:val="0"/>
                <w:numId w:val="0"/>
              </w:numPr>
              <w:spacing w:line="90" w:lineRule="atLeast"/>
              <w:ind w:leftChars="0"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《企业投资项目核准和备案管理办法》（国家发改委2017年2号令） 第七条  第三十九条 第四十条 第四十一条 第四十二条</w:t>
            </w:r>
          </w:p>
          <w:p>
            <w:pPr>
              <w:widowControl/>
              <w:numPr>
                <w:ilvl w:val="0"/>
                <w:numId w:val="0"/>
              </w:numPr>
              <w:spacing w:line="90" w:lineRule="atLeast"/>
              <w:ind w:left="0" w:leftChars="0"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《山西省企业投资项目备案暂行办法》第二条 第四条　</w:t>
            </w:r>
          </w:p>
        </w:tc>
        <w:tc>
          <w:tcPr>
            <w:tcW w:w="3981"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numPr>
                <w:ilvl w:val="0"/>
                <w:numId w:val="0"/>
              </w:numPr>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444444"/>
                <w:kern w:val="0"/>
                <w:sz w:val="24"/>
                <w:szCs w:val="24"/>
                <w:lang w:val="en-US" w:eastAsia="zh-CN" w:bidi="ar"/>
              </w:rPr>
              <w:t>1</w:t>
            </w:r>
            <w:r>
              <w:rPr>
                <w:rFonts w:hint="eastAsia" w:ascii="仿宋" w:hAnsi="仿宋" w:eastAsia="仿宋" w:cs="仿宋"/>
                <w:color w:val="000000"/>
                <w:kern w:val="0"/>
                <w:sz w:val="24"/>
                <w:szCs w:val="24"/>
                <w:lang w:val="en-US" w:eastAsia="zh-CN"/>
              </w:rPr>
              <w:t xml:space="preserve">.受理责任：一次性告知补齐补正材料，依法受理或不受理 （不予受理应当告知理由）。 </w:t>
            </w:r>
          </w:p>
          <w:p>
            <w:pPr>
              <w:widowControl/>
              <w:numPr>
                <w:ilvl w:val="0"/>
                <w:numId w:val="0"/>
              </w:numPr>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 xml:space="preserve">2.审查责任：进行审查后，提出办理意见（项目备案申请表等文件）。 </w:t>
            </w:r>
          </w:p>
          <w:p>
            <w:pPr>
              <w:widowControl/>
              <w:numPr>
                <w:ilvl w:val="0"/>
                <w:numId w:val="0"/>
              </w:numPr>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 xml:space="preserve">3.决定责任：给予备案或者不予备案。（不予备案的应当告知理由）；按时办结；法定告知。 </w:t>
            </w:r>
          </w:p>
          <w:p>
            <w:pPr>
              <w:widowControl/>
              <w:numPr>
                <w:ilvl w:val="0"/>
                <w:numId w:val="0"/>
              </w:numPr>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 xml:space="preserve">4.送达责任：制发文书，通知当事人，实行信息公开。 </w:t>
            </w:r>
          </w:p>
          <w:p>
            <w:pPr>
              <w:widowControl/>
              <w:numPr>
                <w:ilvl w:val="0"/>
                <w:numId w:val="0"/>
              </w:numPr>
              <w:spacing w:line="90" w:lineRule="atLeast"/>
              <w:ind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 xml:space="preserve">5.事后监管责任：加强日常监督检查，开展后续监督管理，进行实地检查等。 </w:t>
            </w:r>
          </w:p>
          <w:p>
            <w:pPr>
              <w:widowControl/>
              <w:numPr>
                <w:ilvl w:val="0"/>
                <w:numId w:val="0"/>
              </w:numPr>
              <w:spacing w:line="90" w:lineRule="atLeast"/>
              <w:ind w:left="0" w:leftChars="0" w:firstLine="240" w:firstLineChars="10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6.其他：法律法规规章规定应履行的责任。</w:t>
            </w:r>
          </w:p>
        </w:tc>
        <w:tc>
          <w:tcPr>
            <w:tcW w:w="2312"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center"/>
          </w:tcPr>
          <w:p>
            <w:pPr>
              <w:widowControl/>
              <w:spacing w:line="90" w:lineRule="atLeast"/>
              <w:jc w:val="both"/>
              <w:rPr>
                <w:rFonts w:hint="eastAsia" w:ascii="仿宋" w:hAnsi="仿宋" w:eastAsia="仿宋" w:cs="仿宋"/>
                <w:color w:val="000000"/>
                <w:kern w:val="0"/>
                <w:sz w:val="24"/>
                <w:szCs w:val="24"/>
                <w:lang w:val="en-US" w:eastAsia="zh-CN"/>
              </w:rPr>
            </w:pPr>
            <w:r>
              <w:rPr>
                <w:rFonts w:hint="eastAsia" w:ascii="宋体" w:hAnsi="宋体" w:cs="宋体"/>
                <w:color w:val="000000"/>
                <w:kern w:val="0"/>
                <w:sz w:val="24"/>
                <w:szCs w:val="24"/>
                <w:lang w:val="en-US" w:eastAsia="zh-CN"/>
              </w:rPr>
              <w:t xml:space="preserve"> </w:t>
            </w:r>
            <w:r>
              <w:rPr>
                <w:rFonts w:hint="eastAsia" w:ascii="仿宋" w:hAnsi="仿宋" w:eastAsia="仿宋" w:cs="仿宋"/>
                <w:color w:val="444444"/>
                <w:kern w:val="0"/>
                <w:sz w:val="24"/>
                <w:szCs w:val="24"/>
                <w:lang w:val="en-US" w:eastAsia="zh-CN" w:bidi="ar"/>
              </w:rPr>
              <w:t> 1</w:t>
            </w:r>
            <w:r>
              <w:rPr>
                <w:rFonts w:hint="eastAsia" w:ascii="仿宋" w:hAnsi="仿宋" w:eastAsia="仿宋" w:cs="仿宋"/>
                <w:color w:val="000000"/>
                <w:kern w:val="0"/>
                <w:sz w:val="24"/>
                <w:szCs w:val="24"/>
                <w:lang w:val="en-US" w:eastAsia="zh-CN"/>
              </w:rPr>
              <w:t xml:space="preserve">、企业投资项目核准和备案管理条例:第十三条 第十五条～第十七条 </w:t>
            </w:r>
            <w:r>
              <w:rPr>
                <w:rFonts w:hint="eastAsia" w:ascii="仿宋" w:hAnsi="仿宋" w:eastAsia="仿宋" w:cs="仿宋"/>
                <w:color w:val="000000"/>
                <w:kern w:val="0"/>
                <w:sz w:val="24"/>
                <w:szCs w:val="24"/>
                <w:lang w:val="en-US" w:eastAsia="zh-CN"/>
              </w:rPr>
              <w:br w:type="textWrapping"/>
            </w:r>
            <w:r>
              <w:rPr>
                <w:rFonts w:hint="eastAsia" w:ascii="仿宋" w:hAnsi="仿宋" w:eastAsia="仿宋" w:cs="仿宋"/>
                <w:color w:val="000000"/>
                <w:kern w:val="0"/>
                <w:sz w:val="24"/>
                <w:szCs w:val="24"/>
                <w:lang w:val="en-US" w:eastAsia="zh-CN"/>
              </w:rPr>
              <w:t>  2、企业投资项目核准和备案管理办法:第十二条 第十四条 第四十一条 第四十二条 第四十六条</w:t>
            </w:r>
          </w:p>
        </w:tc>
        <w:tc>
          <w:tcPr>
            <w:tcW w:w="804" w:type="dxa"/>
            <w:tcBorders>
              <w:top w:val="single" w:color="000000" w:sz="4" w:space="0"/>
              <w:left w:val="nil"/>
              <w:bottom w:val="single" w:color="000000" w:sz="4" w:space="0"/>
              <w:right w:val="single" w:color="000000" w:sz="4" w:space="0"/>
            </w:tcBorders>
            <w:noWrap w:val="0"/>
            <w:tcMar>
              <w:top w:w="12" w:type="dxa"/>
              <w:left w:w="12" w:type="dxa"/>
              <w:bottom w:w="0" w:type="dxa"/>
              <w:right w:w="12" w:type="dxa"/>
            </w:tcMar>
            <w:vAlign w:val="top"/>
          </w:tcPr>
          <w:p>
            <w:pPr>
              <w:widowControl/>
              <w:spacing w:line="90" w:lineRule="atLeast"/>
              <w:jc w:val="both"/>
              <w:rPr>
                <w:rFonts w:hint="eastAsia" w:ascii="仿宋" w:hAnsi="仿宋" w:eastAsia="仿宋" w:cs="仿宋"/>
                <w:color w:val="000000"/>
                <w:kern w:val="0"/>
                <w:sz w:val="21"/>
                <w:szCs w:val="21"/>
                <w:lang w:val="en-US" w:eastAsia="zh-CN"/>
              </w:rPr>
            </w:pPr>
          </w:p>
        </w:tc>
      </w:tr>
    </w:tbl>
    <w:p/>
    <w:p/>
    <w:sectPr>
      <w:pgSz w:w="16838" w:h="11906" w:orient="landscape"/>
      <w:pgMar w:top="1457" w:right="1440" w:bottom="1457"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8340CA"/>
    <w:rsid w:val="3DFD1975"/>
    <w:rsid w:val="4A8340CA"/>
    <w:rsid w:val="4C67533E"/>
    <w:rsid w:val="642975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2019-09-26T00:37:00Z</dcterms:created>
  <dc:creator>(o^^o)♪</dc:creator>
  <cp:lastModifiedBy>天马行空</cp:lastModifiedBy>
  <dcterms:modified xsi:type="dcterms:W3CDTF">2021-12-20T10:54:36Z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FA19DAC4A3004544A91D080C951C0F88</vt:lpwstr>
  </property>
</Properties>
</file>