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5" Type="http://schemas.microsoft.com/office/2006/relationships/ui/userCustomization" Target="userCustomization/customUI.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3"/>
        <w:tblW w:w="14029" w:type="dxa"/>
        <w:tblInd w:w="-33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
      <w:tblGrid>
        <w:gridCol w:w="609"/>
        <w:gridCol w:w="1875"/>
        <w:gridCol w:w="2569"/>
        <w:gridCol w:w="3609"/>
        <w:gridCol w:w="1116"/>
        <w:gridCol w:w="1256"/>
        <w:gridCol w:w="1209"/>
        <w:gridCol w:w="1135"/>
        <w:gridCol w:w="6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1260" w:hRule="atLeast"/>
        </w:trPr>
        <w:tc>
          <w:tcPr>
            <w:tcW w:w="14029" w:type="dxa"/>
            <w:gridSpan w:val="9"/>
            <w:vAlign w:val="center"/>
          </w:tcPr>
          <w:p>
            <w:pPr>
              <w:autoSpaceDN w:val="0"/>
              <w:jc w:val="center"/>
              <w:textAlignment w:val="center"/>
              <w:rPr>
                <w:rFonts w:hint="default" w:ascii="宋体" w:hAnsi="宋体" w:eastAsia="宋体"/>
                <w:b/>
                <w:i w:val="0"/>
                <w:color w:val="000000"/>
                <w:sz w:val="48"/>
                <w:u w:val="none"/>
                <w:lang w:eastAsia="zh-CN"/>
              </w:rPr>
            </w:pPr>
            <w:r>
              <w:rPr>
                <w:rFonts w:hint="eastAsia" w:ascii="宋体" w:hAnsi="宋体"/>
                <w:b/>
                <w:i w:val="0"/>
                <w:color w:val="000000"/>
                <w:sz w:val="48"/>
                <w:u w:val="none"/>
                <w:lang w:eastAsia="zh-CN"/>
              </w:rPr>
              <w:t>应</w:t>
            </w:r>
            <w:bookmarkStart w:id="0" w:name="_GoBack"/>
            <w:bookmarkEnd w:id="0"/>
            <w:r>
              <w:rPr>
                <w:rFonts w:hint="eastAsia" w:ascii="宋体" w:hAnsi="宋体"/>
                <w:b/>
                <w:i w:val="0"/>
                <w:color w:val="000000"/>
                <w:sz w:val="48"/>
                <w:u w:val="none"/>
                <w:lang w:eastAsia="zh-CN"/>
              </w:rPr>
              <w:t>县公安局</w:t>
            </w:r>
            <w:r>
              <w:rPr>
                <w:rFonts w:hint="default" w:ascii="宋体" w:hAnsi="宋体" w:eastAsia="宋体"/>
                <w:b/>
                <w:i w:val="0"/>
                <w:color w:val="000000"/>
                <w:sz w:val="48"/>
                <w:u w:val="none"/>
                <w:lang w:eastAsia="zh-CN"/>
              </w:rPr>
              <w:t>随机抽查事项清单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675" w:hRule="atLeast"/>
        </w:trPr>
        <w:tc>
          <w:tcPr>
            <w:tcW w:w="609"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i w:val="0"/>
                <w:color w:val="000000"/>
                <w:sz w:val="24"/>
                <w:u w:val="none"/>
                <w:lang w:eastAsia="zh-CN"/>
              </w:rPr>
            </w:pPr>
            <w:r>
              <w:rPr>
                <w:rFonts w:hint="default" w:ascii="宋体" w:hAnsi="宋体" w:eastAsia="宋体"/>
                <w:b/>
                <w:i w:val="0"/>
                <w:color w:val="000000"/>
                <w:sz w:val="24"/>
                <w:u w:val="none"/>
                <w:lang w:eastAsia="zh-CN"/>
              </w:rPr>
              <w:t>序号</w:t>
            </w:r>
          </w:p>
        </w:tc>
        <w:tc>
          <w:tcPr>
            <w:tcW w:w="18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i w:val="0"/>
                <w:color w:val="000000"/>
                <w:sz w:val="24"/>
                <w:u w:val="none"/>
                <w:lang w:eastAsia="zh-CN"/>
              </w:rPr>
            </w:pPr>
            <w:r>
              <w:rPr>
                <w:rFonts w:hint="default" w:ascii="宋体" w:hAnsi="宋体" w:eastAsia="宋体"/>
                <w:b/>
                <w:i w:val="0"/>
                <w:color w:val="000000"/>
                <w:sz w:val="24"/>
                <w:u w:val="none"/>
                <w:lang w:eastAsia="zh-CN"/>
              </w:rPr>
              <w:t>抽查事项</w:t>
            </w:r>
          </w:p>
        </w:tc>
        <w:tc>
          <w:tcPr>
            <w:tcW w:w="2569"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i w:val="0"/>
                <w:color w:val="000000"/>
                <w:sz w:val="24"/>
                <w:u w:val="none"/>
                <w:lang w:eastAsia="zh-CN"/>
              </w:rPr>
            </w:pPr>
            <w:r>
              <w:rPr>
                <w:rFonts w:hint="default" w:ascii="宋体" w:hAnsi="宋体" w:eastAsia="宋体"/>
                <w:b/>
                <w:i w:val="0"/>
                <w:color w:val="000000"/>
                <w:sz w:val="24"/>
                <w:u w:val="none"/>
                <w:lang w:eastAsia="zh-CN"/>
              </w:rPr>
              <w:t>检查依据</w:t>
            </w:r>
          </w:p>
        </w:tc>
        <w:tc>
          <w:tcPr>
            <w:tcW w:w="3609"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i w:val="0"/>
                <w:color w:val="000000"/>
                <w:sz w:val="24"/>
                <w:u w:val="none"/>
                <w:lang w:eastAsia="zh-CN"/>
              </w:rPr>
            </w:pPr>
            <w:r>
              <w:rPr>
                <w:rFonts w:hint="default" w:ascii="宋体" w:hAnsi="宋体" w:eastAsia="宋体"/>
                <w:b/>
                <w:i w:val="0"/>
                <w:color w:val="000000"/>
                <w:sz w:val="24"/>
                <w:u w:val="none"/>
                <w:lang w:eastAsia="zh-CN"/>
              </w:rPr>
              <w:t>检查内容</w:t>
            </w:r>
          </w:p>
        </w:tc>
        <w:tc>
          <w:tcPr>
            <w:tcW w:w="111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i w:val="0"/>
                <w:color w:val="000000"/>
                <w:sz w:val="24"/>
                <w:u w:val="none"/>
                <w:lang w:eastAsia="zh-CN"/>
              </w:rPr>
            </w:pPr>
            <w:r>
              <w:rPr>
                <w:rFonts w:hint="default" w:ascii="宋体" w:hAnsi="宋体" w:eastAsia="宋体"/>
                <w:b/>
                <w:i w:val="0"/>
                <w:color w:val="000000"/>
                <w:sz w:val="24"/>
                <w:u w:val="none"/>
                <w:lang w:eastAsia="zh-CN"/>
              </w:rPr>
              <w:t>检查方式</w:t>
            </w:r>
          </w:p>
        </w:tc>
        <w:tc>
          <w:tcPr>
            <w:tcW w:w="12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i w:val="0"/>
                <w:color w:val="000000"/>
                <w:sz w:val="24"/>
                <w:u w:val="none"/>
                <w:lang w:eastAsia="zh-CN"/>
              </w:rPr>
            </w:pPr>
            <w:r>
              <w:rPr>
                <w:rFonts w:hint="default" w:ascii="宋体" w:hAnsi="宋体" w:eastAsia="宋体"/>
                <w:b/>
                <w:i w:val="0"/>
                <w:color w:val="000000"/>
                <w:sz w:val="24"/>
                <w:u w:val="none"/>
                <w:lang w:eastAsia="zh-CN"/>
              </w:rPr>
              <w:t>适用对象</w:t>
            </w:r>
          </w:p>
        </w:tc>
        <w:tc>
          <w:tcPr>
            <w:tcW w:w="1209"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i w:val="0"/>
                <w:color w:val="000000"/>
                <w:sz w:val="24"/>
                <w:u w:val="none"/>
                <w:lang w:eastAsia="zh-CN"/>
              </w:rPr>
            </w:pPr>
            <w:r>
              <w:rPr>
                <w:rFonts w:hint="default" w:ascii="宋体" w:hAnsi="宋体" w:eastAsia="宋体"/>
                <w:b/>
                <w:i w:val="0"/>
                <w:color w:val="000000"/>
                <w:sz w:val="24"/>
                <w:u w:val="none"/>
                <w:lang w:eastAsia="zh-CN"/>
              </w:rPr>
              <w:t>抽查比例</w:t>
            </w:r>
          </w:p>
        </w:tc>
        <w:tc>
          <w:tcPr>
            <w:tcW w:w="113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i w:val="0"/>
                <w:color w:val="000000"/>
                <w:sz w:val="24"/>
                <w:u w:val="none"/>
                <w:lang w:eastAsia="zh-CN"/>
              </w:rPr>
            </w:pPr>
            <w:r>
              <w:rPr>
                <w:rFonts w:hint="default" w:ascii="宋体" w:hAnsi="宋体" w:eastAsia="宋体"/>
                <w:b/>
                <w:i w:val="0"/>
                <w:color w:val="000000"/>
                <w:sz w:val="24"/>
                <w:u w:val="none"/>
                <w:lang w:eastAsia="zh-CN"/>
              </w:rPr>
              <w:t>抽查频次</w:t>
            </w:r>
          </w:p>
        </w:tc>
        <w:tc>
          <w:tcPr>
            <w:tcW w:w="65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default" w:ascii="宋体" w:hAnsi="宋体" w:eastAsia="宋体"/>
                <w:b/>
                <w:i w:val="0"/>
                <w:color w:val="000000"/>
                <w:sz w:val="24"/>
                <w:u w:val="none"/>
                <w:lang w:eastAsia="zh-CN"/>
              </w:rPr>
            </w:pPr>
            <w:r>
              <w:rPr>
                <w:rFonts w:hint="default" w:ascii="宋体" w:hAnsi="宋体" w:eastAsia="宋体"/>
                <w:b/>
                <w:i w:val="0"/>
                <w:color w:val="000000"/>
                <w:sz w:val="24"/>
                <w:u w:val="none"/>
                <w:lang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900" w:hRule="atLeast"/>
        </w:trPr>
        <w:tc>
          <w:tcPr>
            <w:tcW w:w="609"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bCs/>
                <w:i w:val="0"/>
                <w:color w:val="000000"/>
                <w:sz w:val="18"/>
                <w:szCs w:val="18"/>
                <w:u w:val="none"/>
                <w:lang w:val="en-US" w:eastAsia="zh-CN"/>
              </w:rPr>
            </w:pPr>
            <w:r>
              <w:rPr>
                <w:rFonts w:hint="eastAsia" w:ascii="仿宋" w:hAnsi="仿宋" w:eastAsia="仿宋" w:cs="仿宋"/>
                <w:b/>
                <w:bCs/>
                <w:i w:val="0"/>
                <w:color w:val="000000"/>
                <w:sz w:val="18"/>
                <w:szCs w:val="18"/>
                <w:u w:val="none"/>
                <w:lang w:val="en-US" w:eastAsia="zh-CN"/>
              </w:rPr>
              <w:t>1</w:t>
            </w:r>
          </w:p>
        </w:tc>
        <w:tc>
          <w:tcPr>
            <w:tcW w:w="18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bCs/>
                <w:i w:val="0"/>
                <w:color w:val="000000"/>
                <w:sz w:val="18"/>
                <w:szCs w:val="18"/>
                <w:u w:val="none"/>
                <w:lang w:eastAsia="zh-CN"/>
              </w:rPr>
            </w:pPr>
            <w:r>
              <w:rPr>
                <w:rFonts w:hint="eastAsia" w:ascii="仿宋" w:hAnsi="仿宋" w:eastAsia="仿宋" w:cs="仿宋"/>
                <w:b/>
                <w:bCs/>
                <w:i w:val="0"/>
                <w:caps w:val="0"/>
                <w:color w:val="333333"/>
                <w:spacing w:val="0"/>
                <w:sz w:val="18"/>
                <w:szCs w:val="18"/>
                <w:shd w:val="clear" w:color="090000" w:fill="FFFFFF"/>
              </w:rPr>
              <w:t>对爆破作业单位的现场管理、防范措施、结存信息、警示标识等方面工作落实情况进行抽查</w:t>
            </w:r>
          </w:p>
        </w:tc>
        <w:tc>
          <w:tcPr>
            <w:tcW w:w="2569"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bCs/>
                <w:i w:val="0"/>
                <w:color w:val="000000"/>
                <w:sz w:val="18"/>
                <w:szCs w:val="18"/>
                <w:u w:val="none"/>
                <w:lang w:eastAsia="zh-CN"/>
              </w:rPr>
            </w:pPr>
            <w:r>
              <w:rPr>
                <w:rFonts w:hint="eastAsia" w:ascii="仿宋" w:hAnsi="仿宋" w:eastAsia="仿宋" w:cs="仿宋"/>
                <w:b/>
                <w:bCs/>
                <w:i w:val="0"/>
                <w:caps w:val="0"/>
                <w:color w:val="333333"/>
                <w:spacing w:val="0"/>
                <w:sz w:val="18"/>
                <w:szCs w:val="18"/>
                <w:shd w:val="clear" w:color="090000" w:fill="FFFFFF"/>
              </w:rPr>
              <w:t>《民用爆炸物品安全管理条例》</w:t>
            </w:r>
          </w:p>
        </w:tc>
        <w:tc>
          <w:tcPr>
            <w:tcW w:w="3609"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bCs/>
                <w:i w:val="0"/>
                <w:color w:val="000000"/>
                <w:sz w:val="18"/>
                <w:szCs w:val="18"/>
                <w:u w:val="none"/>
                <w:lang w:eastAsia="zh-CN"/>
              </w:rPr>
            </w:pPr>
            <w:r>
              <w:rPr>
                <w:rFonts w:hint="eastAsia" w:ascii="仿宋" w:hAnsi="仿宋" w:eastAsia="仿宋" w:cs="仿宋"/>
                <w:b/>
                <w:bCs/>
                <w:i w:val="0"/>
                <w:caps w:val="0"/>
                <w:color w:val="333333"/>
                <w:spacing w:val="0"/>
                <w:sz w:val="18"/>
                <w:szCs w:val="18"/>
                <w:shd w:val="clear" w:color="090000" w:fill="FFFFFF"/>
              </w:rPr>
              <w:t>爆破作业现场、爆破作业单位、爆破作业人员和民用爆炸物品的品种、数量、来源与公安机关许可信息是否一致，民用爆炸物品临时存放是否由专人管理看护；民用爆炸物品储存库技防、人防、物防、犬防等治安防范措施落实情况；民用爆炸物品流向信息的查验、登记、备案、信息采集和报送情况；实有民用爆炸物品的品种、数量、来源、登记标识与台账结存信息是否一致；实有民用爆炸物品的警示、登记标识质量是否可靠、信息是否准确；民用爆炸物品档案材料保管情况。</w:t>
            </w:r>
          </w:p>
        </w:tc>
        <w:tc>
          <w:tcPr>
            <w:tcW w:w="111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bCs/>
                <w:i w:val="0"/>
                <w:color w:val="000000"/>
                <w:sz w:val="18"/>
                <w:szCs w:val="18"/>
                <w:u w:val="none"/>
                <w:lang w:eastAsia="zh-CN"/>
              </w:rPr>
            </w:pPr>
          </w:p>
        </w:tc>
        <w:tc>
          <w:tcPr>
            <w:tcW w:w="12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bCs/>
                <w:i w:val="0"/>
                <w:color w:val="000000"/>
                <w:sz w:val="18"/>
                <w:szCs w:val="18"/>
                <w:u w:val="none"/>
                <w:lang w:eastAsia="zh-CN"/>
              </w:rPr>
            </w:pPr>
            <w:r>
              <w:rPr>
                <w:rFonts w:hint="eastAsia" w:ascii="仿宋" w:hAnsi="仿宋" w:eastAsia="仿宋" w:cs="仿宋"/>
                <w:b/>
                <w:bCs/>
                <w:i w:val="0"/>
                <w:color w:val="000000"/>
                <w:sz w:val="18"/>
                <w:szCs w:val="18"/>
                <w:u w:val="none"/>
                <w:lang w:eastAsia="zh-CN"/>
              </w:rPr>
              <w:t>企业</w:t>
            </w:r>
          </w:p>
        </w:tc>
        <w:tc>
          <w:tcPr>
            <w:tcW w:w="1209"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bCs/>
                <w:i w:val="0"/>
                <w:color w:val="000000"/>
                <w:sz w:val="18"/>
                <w:szCs w:val="18"/>
                <w:u w:val="none"/>
                <w:lang w:val="en-US" w:eastAsia="zh-CN"/>
              </w:rPr>
            </w:pPr>
            <w:r>
              <w:rPr>
                <w:rFonts w:hint="eastAsia" w:ascii="仿宋" w:hAnsi="仿宋" w:eastAsia="仿宋" w:cs="仿宋"/>
                <w:b/>
                <w:bCs/>
                <w:i w:val="0"/>
                <w:color w:val="000000"/>
                <w:sz w:val="18"/>
                <w:szCs w:val="18"/>
                <w:u w:val="none"/>
                <w:lang w:val="en-US" w:eastAsia="zh-CN"/>
              </w:rPr>
              <w:t>50%</w:t>
            </w:r>
          </w:p>
        </w:tc>
        <w:tc>
          <w:tcPr>
            <w:tcW w:w="113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bCs/>
                <w:i w:val="0"/>
                <w:color w:val="000000"/>
                <w:sz w:val="18"/>
                <w:szCs w:val="18"/>
                <w:u w:val="none"/>
                <w:lang w:val="en-US" w:eastAsia="zh-CN"/>
              </w:rPr>
            </w:pPr>
            <w:r>
              <w:rPr>
                <w:rFonts w:hint="eastAsia" w:ascii="仿宋" w:hAnsi="仿宋" w:eastAsia="仿宋" w:cs="仿宋"/>
                <w:b/>
                <w:bCs/>
                <w:i w:val="0"/>
                <w:color w:val="000000"/>
                <w:sz w:val="18"/>
                <w:szCs w:val="18"/>
                <w:u w:val="none"/>
                <w:lang w:val="en-US" w:eastAsia="zh-CN"/>
              </w:rPr>
              <w:t>2次/年</w:t>
            </w:r>
          </w:p>
        </w:tc>
        <w:tc>
          <w:tcPr>
            <w:tcW w:w="65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900" w:hRule="atLeast"/>
        </w:trPr>
        <w:tc>
          <w:tcPr>
            <w:tcW w:w="609"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bCs/>
                <w:i w:val="0"/>
                <w:color w:val="000000"/>
                <w:sz w:val="18"/>
                <w:szCs w:val="18"/>
                <w:u w:val="none"/>
                <w:lang w:val="en-US" w:eastAsia="zh-CN"/>
              </w:rPr>
            </w:pPr>
            <w:r>
              <w:rPr>
                <w:rFonts w:hint="eastAsia" w:ascii="仿宋" w:hAnsi="仿宋" w:eastAsia="仿宋" w:cs="仿宋"/>
                <w:b/>
                <w:bCs/>
                <w:i w:val="0"/>
                <w:color w:val="000000"/>
                <w:sz w:val="18"/>
                <w:szCs w:val="18"/>
                <w:u w:val="none"/>
                <w:lang w:val="en-US" w:eastAsia="zh-CN"/>
              </w:rPr>
              <w:t>2</w:t>
            </w:r>
          </w:p>
        </w:tc>
        <w:tc>
          <w:tcPr>
            <w:tcW w:w="18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bCs/>
                <w:i w:val="0"/>
                <w:color w:val="000000"/>
                <w:sz w:val="18"/>
                <w:szCs w:val="18"/>
                <w:u w:val="none"/>
                <w:lang w:eastAsia="zh-CN"/>
              </w:rPr>
            </w:pPr>
            <w:r>
              <w:rPr>
                <w:rFonts w:hint="eastAsia" w:ascii="仿宋" w:hAnsi="仿宋" w:eastAsia="仿宋" w:cs="仿宋"/>
                <w:b/>
                <w:bCs/>
                <w:i w:val="0"/>
                <w:caps w:val="0"/>
                <w:color w:val="333333"/>
                <w:spacing w:val="0"/>
                <w:sz w:val="18"/>
                <w:szCs w:val="18"/>
                <w:shd w:val="clear" w:color="090000" w:fill="FFFFFF"/>
              </w:rPr>
              <w:t>对娱乐场所和特种行业的安防、备案、登记、管理等方面工作落实情况进行抽查</w:t>
            </w:r>
          </w:p>
        </w:tc>
        <w:tc>
          <w:tcPr>
            <w:tcW w:w="2569"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bCs/>
                <w:i w:val="0"/>
                <w:color w:val="000000"/>
                <w:sz w:val="18"/>
                <w:szCs w:val="18"/>
                <w:u w:val="none"/>
                <w:lang w:eastAsia="zh-CN"/>
              </w:rPr>
            </w:pPr>
            <w:r>
              <w:rPr>
                <w:rFonts w:hint="eastAsia" w:ascii="仿宋" w:hAnsi="仿宋" w:eastAsia="仿宋" w:cs="仿宋"/>
                <w:b/>
                <w:bCs/>
                <w:i w:val="0"/>
                <w:caps w:val="0"/>
                <w:color w:val="333333"/>
                <w:spacing w:val="0"/>
                <w:sz w:val="18"/>
                <w:szCs w:val="18"/>
                <w:shd w:val="clear" w:color="090000" w:fill="FFFFFF"/>
              </w:rPr>
              <w:t>《娱乐场所管理条例》《旅馆业治安管理办法》</w:t>
            </w:r>
          </w:p>
        </w:tc>
        <w:tc>
          <w:tcPr>
            <w:tcW w:w="3609"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bCs/>
                <w:i w:val="0"/>
                <w:color w:val="000000"/>
                <w:sz w:val="18"/>
                <w:szCs w:val="18"/>
                <w:u w:val="none"/>
                <w:lang w:eastAsia="zh-CN"/>
              </w:rPr>
            </w:pPr>
            <w:r>
              <w:rPr>
                <w:rFonts w:hint="eastAsia" w:ascii="仿宋" w:hAnsi="仿宋" w:eastAsia="仿宋" w:cs="仿宋"/>
                <w:b/>
                <w:bCs/>
                <w:i w:val="0"/>
                <w:caps w:val="0"/>
                <w:color w:val="333333"/>
                <w:spacing w:val="0"/>
                <w:sz w:val="18"/>
                <w:szCs w:val="18"/>
                <w:shd w:val="clear" w:color="090000" w:fill="FFFFFF"/>
              </w:rPr>
              <w:t>开业、变更后是否按规定到公安机关备案；法定代表人或者主要负责人履行治安、安全责任情况；设施、设备是否符合治安、安全防范有关规定及标准；治安、安全防范制度、措施建立和落实情况；治安管理信息系统建设和应用情况；是否存在违法犯罪情况；提供住宿服务项目的场所住宿验证登记情况。</w:t>
            </w:r>
          </w:p>
        </w:tc>
        <w:tc>
          <w:tcPr>
            <w:tcW w:w="111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bCs/>
                <w:i w:val="0"/>
                <w:color w:val="000000"/>
                <w:sz w:val="18"/>
                <w:szCs w:val="18"/>
                <w:u w:val="none"/>
                <w:lang w:eastAsia="zh-CN"/>
              </w:rPr>
            </w:pPr>
          </w:p>
        </w:tc>
        <w:tc>
          <w:tcPr>
            <w:tcW w:w="12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bCs/>
                <w:i w:val="0"/>
                <w:color w:val="000000"/>
                <w:sz w:val="18"/>
                <w:szCs w:val="18"/>
                <w:u w:val="none"/>
                <w:lang w:eastAsia="zh-CN"/>
              </w:rPr>
            </w:pPr>
            <w:r>
              <w:rPr>
                <w:rFonts w:hint="eastAsia" w:ascii="仿宋" w:hAnsi="仿宋" w:eastAsia="仿宋" w:cs="仿宋"/>
                <w:b/>
                <w:bCs/>
                <w:i w:val="0"/>
                <w:caps w:val="0"/>
                <w:color w:val="333333"/>
                <w:spacing w:val="0"/>
                <w:sz w:val="18"/>
                <w:szCs w:val="18"/>
                <w:shd w:val="clear" w:color="090000" w:fill="FFFFFF"/>
              </w:rPr>
              <w:t>全</w:t>
            </w:r>
            <w:r>
              <w:rPr>
                <w:rFonts w:hint="eastAsia" w:ascii="仿宋" w:hAnsi="仿宋" w:eastAsia="仿宋" w:cs="仿宋"/>
                <w:b/>
                <w:bCs/>
                <w:i w:val="0"/>
                <w:caps w:val="0"/>
                <w:color w:val="333333"/>
                <w:spacing w:val="0"/>
                <w:sz w:val="18"/>
                <w:szCs w:val="18"/>
                <w:shd w:val="clear" w:color="090000" w:fill="FFFFFF"/>
                <w:lang w:eastAsia="zh-CN"/>
              </w:rPr>
              <w:t>县</w:t>
            </w:r>
            <w:r>
              <w:rPr>
                <w:rFonts w:hint="eastAsia" w:ascii="仿宋" w:hAnsi="仿宋" w:eastAsia="仿宋" w:cs="仿宋"/>
                <w:b/>
                <w:bCs/>
                <w:i w:val="0"/>
                <w:caps w:val="0"/>
                <w:color w:val="333333"/>
                <w:spacing w:val="0"/>
                <w:sz w:val="18"/>
                <w:szCs w:val="18"/>
                <w:shd w:val="clear" w:color="090000" w:fill="FFFFFF"/>
              </w:rPr>
              <w:t>旅馆、公章刻制业、典当业、娱乐场所</w:t>
            </w:r>
          </w:p>
        </w:tc>
        <w:tc>
          <w:tcPr>
            <w:tcW w:w="1209"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bCs/>
                <w:i w:val="0"/>
                <w:color w:val="000000"/>
                <w:sz w:val="18"/>
                <w:szCs w:val="18"/>
                <w:u w:val="none"/>
                <w:lang w:eastAsia="zh-CN"/>
              </w:rPr>
            </w:pPr>
            <w:r>
              <w:rPr>
                <w:rFonts w:hint="eastAsia" w:ascii="仿宋" w:hAnsi="仿宋" w:eastAsia="仿宋" w:cs="仿宋"/>
                <w:b/>
                <w:bCs/>
                <w:i w:val="0"/>
                <w:color w:val="000000"/>
                <w:sz w:val="18"/>
                <w:szCs w:val="18"/>
                <w:u w:val="none"/>
                <w:lang w:val="en-US" w:eastAsia="zh-CN"/>
              </w:rPr>
              <w:t>50%</w:t>
            </w:r>
          </w:p>
        </w:tc>
        <w:tc>
          <w:tcPr>
            <w:tcW w:w="113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bCs/>
                <w:i w:val="0"/>
                <w:color w:val="000000"/>
                <w:sz w:val="18"/>
                <w:szCs w:val="18"/>
                <w:u w:val="none"/>
              </w:rPr>
            </w:pPr>
            <w:r>
              <w:rPr>
                <w:rFonts w:hint="eastAsia" w:ascii="仿宋" w:hAnsi="仿宋" w:eastAsia="仿宋" w:cs="仿宋"/>
                <w:b/>
                <w:bCs/>
                <w:i w:val="0"/>
                <w:color w:val="000000"/>
                <w:sz w:val="18"/>
                <w:szCs w:val="18"/>
                <w:u w:val="none"/>
                <w:lang w:val="en-US" w:eastAsia="zh-CN"/>
              </w:rPr>
              <w:t>2次/年</w:t>
            </w:r>
          </w:p>
        </w:tc>
        <w:tc>
          <w:tcPr>
            <w:tcW w:w="65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900" w:hRule="atLeast"/>
        </w:trPr>
        <w:tc>
          <w:tcPr>
            <w:tcW w:w="609"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bCs/>
                <w:i w:val="0"/>
                <w:color w:val="000000"/>
                <w:sz w:val="18"/>
                <w:szCs w:val="18"/>
                <w:u w:val="none"/>
                <w:lang w:val="en-US" w:eastAsia="zh-CN"/>
              </w:rPr>
            </w:pPr>
            <w:r>
              <w:rPr>
                <w:rFonts w:hint="eastAsia" w:ascii="仿宋" w:hAnsi="仿宋" w:eastAsia="仿宋" w:cs="仿宋"/>
                <w:b/>
                <w:bCs/>
                <w:i w:val="0"/>
                <w:color w:val="000000"/>
                <w:sz w:val="18"/>
                <w:szCs w:val="18"/>
                <w:u w:val="none"/>
                <w:lang w:val="en-US" w:eastAsia="zh-CN"/>
              </w:rPr>
              <w:t>3</w:t>
            </w:r>
          </w:p>
        </w:tc>
        <w:tc>
          <w:tcPr>
            <w:tcW w:w="18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bCs/>
                <w:i w:val="0"/>
                <w:color w:val="000000"/>
                <w:sz w:val="18"/>
                <w:szCs w:val="18"/>
                <w:u w:val="none"/>
                <w:lang w:eastAsia="zh-CN"/>
              </w:rPr>
            </w:pPr>
            <w:r>
              <w:rPr>
                <w:rFonts w:hint="eastAsia" w:ascii="仿宋" w:hAnsi="仿宋" w:eastAsia="仿宋" w:cs="仿宋"/>
                <w:b/>
                <w:bCs/>
                <w:i w:val="0"/>
                <w:caps w:val="0"/>
                <w:color w:val="333333"/>
                <w:spacing w:val="0"/>
                <w:sz w:val="18"/>
                <w:szCs w:val="18"/>
                <w:shd w:val="clear" w:color="090000" w:fill="FFFFFF"/>
              </w:rPr>
              <w:t>对保安服务业的管理制度、安防设施、保安标志、押运服务、枪支使用、权益保障等方面工作落实情况进行抽查</w:t>
            </w:r>
          </w:p>
        </w:tc>
        <w:tc>
          <w:tcPr>
            <w:tcW w:w="2569"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bCs/>
                <w:i w:val="0"/>
                <w:color w:val="000000"/>
                <w:sz w:val="18"/>
                <w:szCs w:val="18"/>
                <w:u w:val="none"/>
                <w:lang w:eastAsia="zh-CN"/>
              </w:rPr>
            </w:pPr>
            <w:r>
              <w:rPr>
                <w:rFonts w:hint="eastAsia" w:ascii="仿宋" w:hAnsi="仿宋" w:eastAsia="仿宋" w:cs="仿宋"/>
                <w:b/>
                <w:bCs/>
                <w:i w:val="0"/>
                <w:caps w:val="0"/>
                <w:color w:val="333333"/>
                <w:spacing w:val="0"/>
                <w:sz w:val="18"/>
                <w:szCs w:val="18"/>
                <w:shd w:val="clear" w:color="090000" w:fill="FFFFFF"/>
              </w:rPr>
              <w:t>《保安服务管理条例》</w:t>
            </w:r>
          </w:p>
        </w:tc>
        <w:tc>
          <w:tcPr>
            <w:tcW w:w="3609"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bCs/>
                <w:i w:val="0"/>
                <w:color w:val="000000"/>
                <w:sz w:val="18"/>
                <w:szCs w:val="18"/>
                <w:u w:val="none"/>
                <w:lang w:eastAsia="zh-CN"/>
              </w:rPr>
            </w:pPr>
            <w:r>
              <w:rPr>
                <w:rFonts w:hint="eastAsia" w:ascii="仿宋" w:hAnsi="仿宋" w:eastAsia="仿宋" w:cs="仿宋"/>
                <w:b/>
                <w:bCs/>
                <w:i w:val="0"/>
                <w:caps w:val="0"/>
                <w:color w:val="333333"/>
                <w:spacing w:val="0"/>
                <w:sz w:val="18"/>
                <w:szCs w:val="18"/>
                <w:shd w:val="clear" w:color="090000" w:fill="FFFFFF"/>
              </w:rPr>
              <w:t>保安服务合同和监控影像资料、报警记录留存制度落实情况；保安服务中涉及的安全技术防范产品、设备安装、变更、使用情况；保安服务管理制度、岗位责任制度、保管员管理制度和紧急情况应急预案建立落实情况；从事武装守护押运服务的保安服务公司公务用枪安全管理制度和保管设施建设情况；保安员及其服装、保安服务标志与装备管理情况；保安员在岗培训和权益保障工作落实情况；被投诉举报事项纠正情况。</w:t>
            </w:r>
          </w:p>
        </w:tc>
        <w:tc>
          <w:tcPr>
            <w:tcW w:w="111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bCs/>
                <w:i w:val="0"/>
                <w:color w:val="000000"/>
                <w:sz w:val="18"/>
                <w:szCs w:val="18"/>
                <w:u w:val="none"/>
                <w:lang w:eastAsia="zh-CN"/>
              </w:rPr>
            </w:pPr>
          </w:p>
        </w:tc>
        <w:tc>
          <w:tcPr>
            <w:tcW w:w="12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bCs/>
                <w:i w:val="0"/>
                <w:color w:val="000000"/>
                <w:sz w:val="18"/>
                <w:szCs w:val="18"/>
                <w:u w:val="none"/>
                <w:lang w:eastAsia="zh-CN"/>
              </w:rPr>
            </w:pPr>
            <w:r>
              <w:rPr>
                <w:rFonts w:hint="eastAsia" w:ascii="仿宋" w:hAnsi="仿宋" w:eastAsia="仿宋" w:cs="仿宋"/>
                <w:b/>
                <w:bCs/>
                <w:i w:val="0"/>
                <w:caps w:val="0"/>
                <w:color w:val="333333"/>
                <w:spacing w:val="0"/>
                <w:sz w:val="18"/>
                <w:szCs w:val="18"/>
                <w:shd w:val="clear" w:color="090000" w:fill="FFFFFF"/>
              </w:rPr>
              <w:t>保安公司</w:t>
            </w:r>
          </w:p>
        </w:tc>
        <w:tc>
          <w:tcPr>
            <w:tcW w:w="1209" w:type="dxa"/>
            <w:vAlign w:val="center"/>
          </w:tcPr>
          <w:p>
            <w:pPr>
              <w:autoSpaceDN w:val="0"/>
              <w:jc w:val="center"/>
              <w:textAlignment w:val="center"/>
              <w:rPr>
                <w:rFonts w:hint="eastAsia" w:ascii="仿宋" w:hAnsi="仿宋" w:eastAsia="仿宋" w:cs="仿宋"/>
                <w:b/>
                <w:bCs/>
                <w:i w:val="0"/>
                <w:color w:val="000000"/>
                <w:sz w:val="18"/>
                <w:szCs w:val="18"/>
                <w:u w:val="none"/>
                <w:lang w:eastAsia="zh-CN"/>
              </w:rPr>
            </w:pPr>
            <w:r>
              <w:rPr>
                <w:rFonts w:hint="eastAsia" w:ascii="仿宋" w:hAnsi="仿宋" w:eastAsia="仿宋" w:cs="仿宋"/>
                <w:b/>
                <w:bCs/>
                <w:i w:val="0"/>
                <w:color w:val="000000"/>
                <w:sz w:val="18"/>
                <w:szCs w:val="18"/>
                <w:u w:val="none"/>
                <w:lang w:val="en-US" w:eastAsia="zh-CN"/>
              </w:rPr>
              <w:t>50%</w:t>
            </w:r>
          </w:p>
        </w:tc>
        <w:tc>
          <w:tcPr>
            <w:tcW w:w="1135" w:type="dxa"/>
            <w:tcBorders>
              <w:left w:val="single" w:color="000000" w:sz="4" w:space="0"/>
            </w:tcBorders>
            <w:vAlign w:val="center"/>
          </w:tcPr>
          <w:p>
            <w:pPr>
              <w:autoSpaceDN w:val="0"/>
              <w:jc w:val="center"/>
              <w:textAlignment w:val="center"/>
              <w:rPr>
                <w:rFonts w:hint="eastAsia" w:ascii="仿宋" w:hAnsi="仿宋" w:eastAsia="仿宋" w:cs="仿宋"/>
                <w:b/>
                <w:bCs/>
                <w:i w:val="0"/>
                <w:color w:val="000000"/>
                <w:sz w:val="18"/>
                <w:szCs w:val="18"/>
                <w:u w:val="none"/>
                <w:lang w:eastAsia="zh-CN"/>
              </w:rPr>
            </w:pPr>
            <w:r>
              <w:rPr>
                <w:rFonts w:hint="eastAsia" w:ascii="仿宋" w:hAnsi="仿宋" w:eastAsia="仿宋" w:cs="仿宋"/>
                <w:b/>
                <w:bCs/>
                <w:i w:val="0"/>
                <w:color w:val="000000"/>
                <w:sz w:val="18"/>
                <w:szCs w:val="18"/>
                <w:u w:val="none"/>
                <w:lang w:val="en-US" w:eastAsia="zh-CN"/>
              </w:rPr>
              <w:t>2次/年</w:t>
            </w:r>
          </w:p>
        </w:tc>
        <w:tc>
          <w:tcPr>
            <w:tcW w:w="65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822" w:hRule="atLeast"/>
        </w:trPr>
        <w:tc>
          <w:tcPr>
            <w:tcW w:w="609"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bCs/>
                <w:i w:val="0"/>
                <w:color w:val="000000"/>
                <w:sz w:val="18"/>
                <w:szCs w:val="18"/>
                <w:u w:val="none"/>
                <w:lang w:val="en-US" w:eastAsia="zh-CN"/>
              </w:rPr>
            </w:pPr>
            <w:r>
              <w:rPr>
                <w:rFonts w:hint="eastAsia" w:ascii="仿宋" w:hAnsi="仿宋" w:eastAsia="仿宋" w:cs="仿宋"/>
                <w:b/>
                <w:bCs/>
                <w:i w:val="0"/>
                <w:color w:val="000000"/>
                <w:sz w:val="18"/>
                <w:szCs w:val="18"/>
                <w:u w:val="none"/>
                <w:lang w:val="en-US" w:eastAsia="zh-CN"/>
              </w:rPr>
              <w:t>4</w:t>
            </w:r>
          </w:p>
        </w:tc>
        <w:tc>
          <w:tcPr>
            <w:tcW w:w="18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bCs/>
                <w:i w:val="0"/>
                <w:color w:val="000000"/>
                <w:sz w:val="18"/>
                <w:szCs w:val="18"/>
                <w:u w:val="none"/>
                <w:lang w:eastAsia="zh-CN"/>
              </w:rPr>
            </w:pPr>
            <w:r>
              <w:rPr>
                <w:rFonts w:hint="eastAsia" w:ascii="仿宋" w:hAnsi="仿宋" w:eastAsia="仿宋" w:cs="仿宋"/>
                <w:b/>
                <w:bCs/>
                <w:i w:val="0"/>
                <w:caps w:val="0"/>
                <w:color w:val="333333"/>
                <w:spacing w:val="0"/>
                <w:sz w:val="18"/>
                <w:szCs w:val="18"/>
                <w:shd w:val="clear" w:color="090000" w:fill="FFFFFF"/>
              </w:rPr>
              <w:t>对易制毒化学品管理进行抽查</w:t>
            </w:r>
          </w:p>
        </w:tc>
        <w:tc>
          <w:tcPr>
            <w:tcW w:w="2569" w:type="dxa"/>
            <w:tcBorders>
              <w:top w:val="single" w:color="000000" w:sz="4" w:space="0"/>
              <w:left w:val="single" w:color="000000" w:sz="4" w:space="0"/>
              <w:bottom w:val="single" w:color="000000" w:sz="4" w:space="0"/>
              <w:right w:val="single" w:color="000000" w:sz="4" w:space="0"/>
            </w:tcBorders>
            <w:vAlign w:val="center"/>
          </w:tcPr>
          <w:p>
            <w:pPr>
              <w:rPr>
                <w:rFonts w:hint="eastAsia"/>
                <w:lang w:eastAsia="zh-CN"/>
              </w:rPr>
            </w:pPr>
            <w:r>
              <w:rPr>
                <w:rFonts w:hint="eastAsia"/>
              </w:rPr>
              <w:t>《易制毒化学品管理条例》</w:t>
            </w:r>
          </w:p>
        </w:tc>
        <w:tc>
          <w:tcPr>
            <w:tcW w:w="3609"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bCs/>
                <w:i w:val="0"/>
                <w:color w:val="000000"/>
                <w:sz w:val="18"/>
                <w:szCs w:val="18"/>
                <w:u w:val="none"/>
                <w:lang w:eastAsia="zh-CN"/>
              </w:rPr>
            </w:pPr>
            <w:r>
              <w:rPr>
                <w:rFonts w:hint="eastAsia" w:ascii="仿宋" w:hAnsi="仿宋" w:eastAsia="仿宋" w:cs="仿宋"/>
                <w:b/>
                <w:bCs/>
                <w:i w:val="0"/>
                <w:caps w:val="0"/>
                <w:color w:val="333333"/>
                <w:spacing w:val="0"/>
                <w:sz w:val="18"/>
                <w:szCs w:val="18"/>
                <w:shd w:val="clear" w:color="090000" w:fill="FFFFFF"/>
              </w:rPr>
              <w:t>易制毒化学品生产购买使用台帐、储存</w:t>
            </w:r>
          </w:p>
        </w:tc>
        <w:tc>
          <w:tcPr>
            <w:tcW w:w="111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bCs/>
                <w:i w:val="0"/>
                <w:color w:val="000000"/>
                <w:sz w:val="18"/>
                <w:szCs w:val="18"/>
                <w:u w:val="none"/>
                <w:lang w:eastAsia="zh-CN"/>
              </w:rPr>
            </w:pPr>
          </w:p>
        </w:tc>
        <w:tc>
          <w:tcPr>
            <w:tcW w:w="12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bCs/>
                <w:i w:val="0"/>
                <w:color w:val="000000"/>
                <w:sz w:val="18"/>
                <w:szCs w:val="18"/>
                <w:u w:val="none"/>
                <w:lang w:eastAsia="zh-CN"/>
              </w:rPr>
            </w:pPr>
            <w:r>
              <w:rPr>
                <w:rFonts w:hint="eastAsia" w:ascii="仿宋" w:hAnsi="仿宋" w:eastAsia="仿宋" w:cs="仿宋"/>
                <w:b/>
                <w:bCs/>
                <w:i w:val="0"/>
                <w:caps w:val="0"/>
                <w:color w:val="333333"/>
                <w:spacing w:val="0"/>
                <w:sz w:val="18"/>
                <w:szCs w:val="18"/>
                <w:shd w:val="clear" w:color="090000" w:fill="FFFFFF"/>
              </w:rPr>
              <w:t>易制毒化学品生产经营使用单位</w:t>
            </w:r>
          </w:p>
        </w:tc>
        <w:tc>
          <w:tcPr>
            <w:tcW w:w="1209"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bCs/>
                <w:i w:val="0"/>
                <w:color w:val="000000"/>
                <w:sz w:val="18"/>
                <w:szCs w:val="18"/>
                <w:u w:val="none"/>
                <w:lang w:eastAsia="zh-CN"/>
              </w:rPr>
            </w:pPr>
            <w:r>
              <w:rPr>
                <w:rFonts w:hint="eastAsia" w:ascii="仿宋" w:hAnsi="仿宋" w:eastAsia="仿宋" w:cs="仿宋"/>
                <w:b/>
                <w:bCs/>
                <w:i w:val="0"/>
                <w:color w:val="000000"/>
                <w:sz w:val="18"/>
                <w:szCs w:val="18"/>
                <w:u w:val="none"/>
                <w:lang w:val="en-US" w:eastAsia="zh-CN"/>
              </w:rPr>
              <w:t>50%</w:t>
            </w:r>
          </w:p>
        </w:tc>
        <w:tc>
          <w:tcPr>
            <w:tcW w:w="113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bCs/>
                <w:i w:val="0"/>
                <w:color w:val="000000"/>
                <w:sz w:val="18"/>
                <w:szCs w:val="18"/>
                <w:u w:val="none"/>
              </w:rPr>
            </w:pPr>
            <w:r>
              <w:rPr>
                <w:rFonts w:hint="eastAsia" w:ascii="仿宋" w:hAnsi="仿宋" w:eastAsia="仿宋" w:cs="仿宋"/>
                <w:b/>
                <w:bCs/>
                <w:i w:val="0"/>
                <w:color w:val="000000"/>
                <w:sz w:val="18"/>
                <w:szCs w:val="18"/>
                <w:u w:val="none"/>
                <w:lang w:val="en-US" w:eastAsia="zh-CN"/>
              </w:rPr>
              <w:t>2次/年</w:t>
            </w:r>
          </w:p>
        </w:tc>
        <w:tc>
          <w:tcPr>
            <w:tcW w:w="65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bCs/>
                <w:i w:val="0"/>
                <w:color w:val="000000"/>
                <w:sz w:val="18"/>
                <w:szCs w:val="18"/>
                <w:u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5" w:type="dxa"/>
            <w:bottom w:w="0" w:type="dxa"/>
            <w:right w:w="15" w:type="dxa"/>
          </w:tblCellMar>
        </w:tblPrEx>
        <w:trPr>
          <w:trHeight w:val="3594" w:hRule="atLeast"/>
        </w:trPr>
        <w:tc>
          <w:tcPr>
            <w:tcW w:w="609"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bCs/>
                <w:i w:val="0"/>
                <w:color w:val="000000"/>
                <w:sz w:val="18"/>
                <w:szCs w:val="18"/>
                <w:u w:val="none"/>
                <w:lang w:val="en-US" w:eastAsia="zh-CN"/>
              </w:rPr>
            </w:pPr>
            <w:r>
              <w:rPr>
                <w:rFonts w:hint="eastAsia" w:ascii="仿宋" w:hAnsi="仿宋" w:eastAsia="仿宋" w:cs="仿宋"/>
                <w:b/>
                <w:bCs/>
                <w:i w:val="0"/>
                <w:color w:val="000000"/>
                <w:sz w:val="18"/>
                <w:szCs w:val="18"/>
                <w:u w:val="none"/>
                <w:lang w:val="en-US" w:eastAsia="zh-CN"/>
              </w:rPr>
              <w:t>5</w:t>
            </w:r>
          </w:p>
        </w:tc>
        <w:tc>
          <w:tcPr>
            <w:tcW w:w="187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bCs/>
                <w:i w:val="0"/>
                <w:color w:val="000000"/>
                <w:sz w:val="18"/>
                <w:szCs w:val="18"/>
                <w:u w:val="none"/>
                <w:lang w:eastAsia="zh-CN"/>
              </w:rPr>
            </w:pPr>
            <w:r>
              <w:rPr>
                <w:rFonts w:hint="eastAsia" w:ascii="仿宋" w:hAnsi="仿宋" w:eastAsia="仿宋" w:cs="仿宋"/>
                <w:b/>
                <w:bCs/>
                <w:i w:val="0"/>
                <w:caps w:val="0"/>
                <w:color w:val="333333"/>
                <w:spacing w:val="0"/>
                <w:sz w:val="18"/>
                <w:szCs w:val="18"/>
                <w:shd w:val="clear" w:color="090000" w:fill="FFFFFF"/>
              </w:rPr>
              <w:t>对网吧是否存在信息登记不一致、未实名登记、一机多人上网等情况进行抽查</w:t>
            </w:r>
          </w:p>
        </w:tc>
        <w:tc>
          <w:tcPr>
            <w:tcW w:w="2569"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bCs/>
                <w:i w:val="0"/>
                <w:color w:val="000000"/>
                <w:sz w:val="18"/>
                <w:szCs w:val="18"/>
                <w:u w:val="none"/>
                <w:lang w:eastAsia="zh-CN"/>
              </w:rPr>
            </w:pPr>
            <w:r>
              <w:rPr>
                <w:rFonts w:hint="eastAsia" w:ascii="仿宋" w:hAnsi="仿宋" w:eastAsia="仿宋" w:cs="仿宋"/>
                <w:b/>
                <w:bCs/>
                <w:i w:val="0"/>
                <w:caps w:val="0"/>
                <w:color w:val="333333"/>
                <w:spacing w:val="0"/>
                <w:sz w:val="18"/>
                <w:szCs w:val="18"/>
                <w:shd w:val="clear" w:color="090000" w:fill="FFFFFF"/>
              </w:rPr>
              <w:t>《互联网上网服务营业场所管理条例》、《计算机信息系统安全专用产品检测和销售许可证管理办法》</w:t>
            </w:r>
          </w:p>
        </w:tc>
        <w:tc>
          <w:tcPr>
            <w:tcW w:w="3609"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bCs/>
                <w:i w:val="0"/>
                <w:color w:val="000000"/>
                <w:sz w:val="18"/>
                <w:szCs w:val="18"/>
                <w:u w:val="none"/>
                <w:lang w:eastAsia="zh-CN"/>
              </w:rPr>
            </w:pPr>
            <w:r>
              <w:rPr>
                <w:rFonts w:hint="eastAsia" w:ascii="仿宋" w:hAnsi="仿宋" w:eastAsia="仿宋" w:cs="仿宋"/>
                <w:b/>
                <w:bCs/>
                <w:i w:val="0"/>
                <w:caps w:val="0"/>
                <w:color w:val="333333"/>
                <w:spacing w:val="0"/>
                <w:sz w:val="18"/>
                <w:szCs w:val="18"/>
                <w:shd w:val="clear" w:color="090000" w:fill="FFFFFF"/>
              </w:rPr>
              <w:t>网吧基础资料与网吧实际情况是否相符；是否存在一机多人上网的情况；是否存在不登、漏登、乱登或冒用他人身份证、身份信息登记上网，未按规定核对登记上网消费者有效身份证件或者记录有关上网信息等违背网吧上网实名制的情况；互联网上网服务营业场所经营单位和上网消费者有无利用互联网上网服务营业场所制作、下载、复制、阅读、发布、传播各类有害信息；是否按规定时间保存登记内容、记录备份，或者在保存期内修改、删除登记内容、记录备份。</w:t>
            </w:r>
          </w:p>
        </w:tc>
        <w:tc>
          <w:tcPr>
            <w:tcW w:w="111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bCs/>
                <w:i w:val="0"/>
                <w:color w:val="000000"/>
                <w:sz w:val="18"/>
                <w:szCs w:val="18"/>
                <w:u w:val="none"/>
                <w:lang w:eastAsia="zh-CN"/>
              </w:rPr>
            </w:pPr>
          </w:p>
        </w:tc>
        <w:tc>
          <w:tcPr>
            <w:tcW w:w="1256"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bCs/>
                <w:i w:val="0"/>
                <w:color w:val="000000"/>
                <w:sz w:val="18"/>
                <w:szCs w:val="18"/>
                <w:u w:val="none"/>
                <w:lang w:eastAsia="zh-CN"/>
              </w:rPr>
            </w:pPr>
            <w:r>
              <w:rPr>
                <w:rFonts w:hint="eastAsia" w:ascii="仿宋" w:hAnsi="仿宋" w:eastAsia="仿宋" w:cs="仿宋"/>
                <w:b/>
                <w:bCs/>
                <w:i w:val="0"/>
                <w:caps w:val="0"/>
                <w:color w:val="333333"/>
                <w:spacing w:val="0"/>
                <w:sz w:val="18"/>
                <w:szCs w:val="18"/>
                <w:shd w:val="clear" w:color="090000" w:fill="FFFFFF"/>
              </w:rPr>
              <w:t>网吧</w:t>
            </w:r>
          </w:p>
        </w:tc>
        <w:tc>
          <w:tcPr>
            <w:tcW w:w="1209"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bCs/>
                <w:i w:val="0"/>
                <w:color w:val="000000"/>
                <w:sz w:val="18"/>
                <w:szCs w:val="18"/>
                <w:u w:val="none"/>
                <w:lang w:eastAsia="zh-CN"/>
              </w:rPr>
            </w:pPr>
            <w:r>
              <w:rPr>
                <w:rFonts w:hint="eastAsia" w:ascii="仿宋" w:hAnsi="仿宋" w:eastAsia="仿宋" w:cs="仿宋"/>
                <w:b/>
                <w:bCs/>
                <w:i w:val="0"/>
                <w:color w:val="000000"/>
                <w:sz w:val="18"/>
                <w:szCs w:val="18"/>
                <w:u w:val="none"/>
                <w:lang w:val="en-US" w:eastAsia="zh-CN"/>
              </w:rPr>
              <w:t>50%</w:t>
            </w:r>
          </w:p>
        </w:tc>
        <w:tc>
          <w:tcPr>
            <w:tcW w:w="1135"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bCs/>
                <w:i w:val="0"/>
                <w:color w:val="000000"/>
                <w:sz w:val="18"/>
                <w:szCs w:val="18"/>
                <w:u w:val="none"/>
              </w:rPr>
            </w:pPr>
            <w:r>
              <w:rPr>
                <w:rFonts w:hint="eastAsia" w:ascii="仿宋" w:hAnsi="仿宋" w:eastAsia="仿宋" w:cs="仿宋"/>
                <w:b/>
                <w:bCs/>
                <w:i w:val="0"/>
                <w:color w:val="000000"/>
                <w:sz w:val="18"/>
                <w:szCs w:val="18"/>
                <w:u w:val="none"/>
                <w:lang w:val="en-US" w:eastAsia="zh-CN"/>
              </w:rPr>
              <w:t>2次/年</w:t>
            </w:r>
          </w:p>
        </w:tc>
        <w:tc>
          <w:tcPr>
            <w:tcW w:w="651" w:type="dxa"/>
            <w:tcBorders>
              <w:top w:val="single" w:color="000000" w:sz="4" w:space="0"/>
              <w:left w:val="single" w:color="000000" w:sz="4" w:space="0"/>
              <w:bottom w:val="single" w:color="000000" w:sz="4" w:space="0"/>
              <w:right w:val="single" w:color="000000" w:sz="4" w:space="0"/>
            </w:tcBorders>
            <w:vAlign w:val="center"/>
          </w:tcPr>
          <w:p>
            <w:pPr>
              <w:autoSpaceDN w:val="0"/>
              <w:jc w:val="center"/>
              <w:textAlignment w:val="center"/>
              <w:rPr>
                <w:rFonts w:hint="eastAsia" w:ascii="仿宋" w:hAnsi="仿宋" w:eastAsia="仿宋" w:cs="仿宋"/>
                <w:b/>
                <w:bCs/>
                <w:i w:val="0"/>
                <w:color w:val="000000"/>
                <w:sz w:val="18"/>
                <w:szCs w:val="18"/>
                <w:u w:val="none"/>
                <w:lang w:eastAsia="zh-CN"/>
              </w:rPr>
            </w:pPr>
          </w:p>
        </w:tc>
      </w:tr>
    </w:tbl>
    <w:p>
      <w:pPr>
        <w:rPr>
          <w:rFonts w:hint="eastAsia" w:ascii="宋体" w:hAnsi="宋体" w:eastAsia="宋体" w:cs="宋体"/>
          <w:b/>
          <w:bCs/>
        </w:rPr>
      </w:pPr>
    </w:p>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auto"/>
    <w:pitch w:val="default"/>
    <w:sig w:usb0="E00002FF" w:usb1="4000ACFF" w:usb2="00000001" w:usb3="00000000" w:csb0="2000019F" w:csb1="00000000"/>
  </w:font>
  <w:font w:name="仿宋">
    <w:altName w:val="仿宋_GB2312"/>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Segoe UI">
    <w:panose1 w:val="020B0502040204020203"/>
    <w:charset w:val="00"/>
    <w:family w:val="auto"/>
    <w:pitch w:val="default"/>
    <w:sig w:usb0="E10022FF" w:usb1="C000E47F" w:usb2="00000029" w:usb3="00000000" w:csb0="200001DF" w:csb1="2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000000"/>
    <w:rsid w:val="0E445655"/>
    <w:rsid w:val="13AC139E"/>
    <w:rsid w:val="47355E0C"/>
    <w:rsid w:val="6F7E6B09"/>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rPr>
  </w:style>
  <w:style w:type="character" w:default="1" w:styleId="2">
    <w:name w:val="Default Paragraph Font"/>
    <w:semiHidden/>
    <w:qFormat/>
    <w:uiPriority w:val="0"/>
  </w:style>
  <w:style w:type="table" w:default="1" w:styleId="3">
    <w:name w:val="Normal Table"/>
    <w:semiHidden/>
    <w:qFormat/>
    <w:uiPriority w:val="0"/>
    <w:tblPr>
      <w:tblStyle w:val="3"/>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 专业版_9.1.0.4833_{F1E327BC-269C-435d-A152-05C5408002CA}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pc</dc:creator>
  <cp:lastModifiedBy>Administrator</cp:lastModifiedBy>
  <dcterms:modified xsi:type="dcterms:W3CDTF">2018-12-13T01:59:13Z</dcterms:modified>
  <dc:title>应县公安局随机抽查事项清单</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2052-9.1.0.4833</vt:lpwstr>
  </property>
</Properties>
</file>