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农村集体土地征收-征地管理政策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30"/>
          <w:szCs w:val="30"/>
          <w:bdr w:val="none" w:color="auto" w:sz="0" w:space="0"/>
          <w:shd w:val="clear" w:fill="FFFFFF"/>
        </w:rPr>
        <w:t>《政府信息公开条例》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ascii="仿宋" w:hAnsi="仿宋" w:eastAsia="仿宋" w:cs="仿宋"/>
          <w:i w:val="0"/>
          <w:iCs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第五条　行政机关公开政府信息，应当坚持以公开为常态、不公开为例外，遵循公正、公平、合法、便民的原则。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第十九条　对涉及公众利益调整、需要公众广泛知晓或者需要公众参与决策的政府信息，行政机关应当主动公开。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第二十条　行政机关应当依照本条例第十九条的规定，主动公开本行政机关的下列政府信息：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（一）行政法规、规章和规范性文件；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（二）机关职能、机构设置、办公地址、办公时间、联系方式、负责人姓名；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（三）国民经济和社会发展规划、专项规划、区域规划及相关政策；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（四）国民经济和社会发展统计信息；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（五）办理行政许可和其他对外管理服务事项的依据、条件、程序以及办理结果；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（六）实施行政处罚、行政强制的依据、条件、程序以及本行政机关认为具有一定社会影响的行政处罚决定；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（七）财政预算、决算信息；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（八）行政事业性收费项目及其依据、标准；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（九）政府集中采购项目的目录、标准及实施情况；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（十）重大建设项目的批准和实施情况；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（十一）扶贫、教育、医疗、社会保障、促进就业等方面的政策、措施及其实施情况；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（十二）突发公共事件的应急预案、预警信息及应对情况；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（十三）环境保护、公共卫生、安全生产、食品药品、产品质量的监督检查情况；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（十四）公务员招考的职位、名额、报考条件等事项以及录用结果；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（十五）法律、法规、规章和国家有关规定规定应当主动公开的其他政府信息。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28"/>
          <w:szCs w:val="28"/>
          <w:bdr w:val="none" w:color="auto" w:sz="0" w:space="0"/>
          <w:shd w:val="clear" w:fill="FFFFFF"/>
        </w:rPr>
        <w:t>第二十一条　除本条例第二十条规定的政府信息外，设区的市级、县级人民政府及其部门还应当根据本地方的具体情况，主动公开涉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5F4827"/>
    <w:rsid w:val="045F4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2021-12-23T12:18:00Z</dcterms:created>
  <dc:creator>天马行空</dc:creator>
  <cp:lastModifiedBy>天马行空</cp:lastModifiedBy>
  <dcterms:modified xsi:type="dcterms:W3CDTF">2021-12-23T12:19:01Z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E118F1E380E64C9A8298316F8959D4D2</vt:lpwstr>
  </property>
</Properties>
</file>